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55095" w:rsidRPr="00C55095" w:rsidRDefault="00C55095">
      <w:pPr>
        <w:rPr>
          <w:b/>
        </w:rPr>
      </w:pPr>
      <w:r w:rsidRPr="00C55095">
        <w:rPr>
          <w:b/>
        </w:rPr>
        <w:t>Droit d’usage</w:t>
      </w:r>
    </w:p>
    <w:p w:rsidR="00C55095" w:rsidRDefault="00C55095"/>
    <w:p w:rsidR="00C55095" w:rsidRDefault="00C55095" w:rsidP="00C55095">
      <w:pPr>
        <w:jc w:val="both"/>
      </w:pPr>
      <w:r>
        <w:t xml:space="preserve">Un Usage est une pratique de l’employeur qui confère un avantage aux salariés. Il doit présenter le caractère de </w:t>
      </w:r>
      <w:r w:rsidRPr="00C55095">
        <w:rPr>
          <w:b/>
        </w:rPr>
        <w:t>généralité</w:t>
      </w:r>
      <w:r>
        <w:t xml:space="preserve">, de </w:t>
      </w:r>
      <w:r w:rsidRPr="00C55095">
        <w:rPr>
          <w:b/>
        </w:rPr>
        <w:t>constance</w:t>
      </w:r>
      <w:r>
        <w:t xml:space="preserve"> et de </w:t>
      </w:r>
      <w:r w:rsidRPr="00C55095">
        <w:rPr>
          <w:b/>
        </w:rPr>
        <w:t>fixité</w:t>
      </w:r>
      <w:r>
        <w:t xml:space="preserve"> (</w:t>
      </w:r>
      <w:proofErr w:type="spellStart"/>
      <w:r>
        <w:t>Cass</w:t>
      </w:r>
      <w:proofErr w:type="spellEnd"/>
      <w:r>
        <w:t xml:space="preserve">. Soc., 17 </w:t>
      </w:r>
      <w:proofErr w:type="spellStart"/>
      <w:r>
        <w:t>fev</w:t>
      </w:r>
      <w:proofErr w:type="spellEnd"/>
      <w:r>
        <w:t>. 2004, n° 01-46.042).</w:t>
      </w:r>
    </w:p>
    <w:p w:rsidR="00C55095" w:rsidRDefault="00C55095" w:rsidP="00C55095">
      <w:pPr>
        <w:jc w:val="both"/>
      </w:pPr>
    </w:p>
    <w:p w:rsidR="00C55095" w:rsidRDefault="00C55095" w:rsidP="00C55095">
      <w:pPr>
        <w:jc w:val="both"/>
      </w:pPr>
      <w:r>
        <w:t xml:space="preserve">Par </w:t>
      </w:r>
      <w:r w:rsidRPr="00C55095">
        <w:rPr>
          <w:b/>
        </w:rPr>
        <w:t>généralité,</w:t>
      </w:r>
      <w:r>
        <w:t xml:space="preserve"> il faut entendre « avantage non individuel ». Pour qu’il y ait usage, l’avantage doit être collectif. Il doit être reconnu soit à l’ensemble des salariés, soit à une catégorie ou à un groupe déterminé de salariés (</w:t>
      </w:r>
      <w:proofErr w:type="spellStart"/>
      <w:r>
        <w:t>Cass</w:t>
      </w:r>
      <w:proofErr w:type="spellEnd"/>
      <w:r>
        <w:t xml:space="preserve">. Soc., 28 </w:t>
      </w:r>
      <w:proofErr w:type="spellStart"/>
      <w:r>
        <w:t>fev</w:t>
      </w:r>
      <w:proofErr w:type="spellEnd"/>
      <w:r>
        <w:t>. 1996, n° 93-40.883).</w:t>
      </w:r>
    </w:p>
    <w:p w:rsidR="00C55095" w:rsidRDefault="00C55095" w:rsidP="00C55095">
      <w:pPr>
        <w:jc w:val="both"/>
      </w:pPr>
    </w:p>
    <w:p w:rsidR="00C55095" w:rsidRDefault="00C55095">
      <w:r>
        <w:t xml:space="preserve">Le </w:t>
      </w:r>
      <w:r w:rsidRPr="00C55095">
        <w:t>caractère</w:t>
      </w:r>
      <w:r>
        <w:t xml:space="preserve"> de </w:t>
      </w:r>
      <w:r w:rsidRPr="00C55095">
        <w:rPr>
          <w:b/>
        </w:rPr>
        <w:t>stabilité</w:t>
      </w:r>
      <w:r>
        <w:t xml:space="preserve"> et de </w:t>
      </w:r>
      <w:r w:rsidRPr="00C55095">
        <w:rPr>
          <w:b/>
        </w:rPr>
        <w:t>constance</w:t>
      </w:r>
      <w:r>
        <w:t xml:space="preserve"> impose que l’avantage ait été attribué à plusieurs reprises. La notion même d’usage suppose qu’il y ait une répétition et que l’avantage ait été attribué au moins deux fois, en justice les tribunaux peuvent exiger une répétition plus importante. Par exemple le versement unique d’une prime n’est pas un usage.</w:t>
      </w:r>
    </w:p>
    <w:p w:rsidR="00C55095" w:rsidRDefault="00C55095"/>
    <w:p w:rsidR="00C55095" w:rsidRDefault="00C55095">
      <w:r>
        <w:t xml:space="preserve">Un usage doit être </w:t>
      </w:r>
      <w:r w:rsidRPr="00C55095">
        <w:rPr>
          <w:b/>
        </w:rPr>
        <w:t>fixe</w:t>
      </w:r>
      <w:r w:rsidRPr="00C55095">
        <w:t>. Il y</w:t>
      </w:r>
      <w:r>
        <w:t xml:space="preserve"> </w:t>
      </w:r>
      <w:r w:rsidRPr="00C55095">
        <w:t xml:space="preserve">a fixité dès lors que les conditions d’octroi </w:t>
      </w:r>
      <w:r>
        <w:t>et les modalité</w:t>
      </w:r>
      <w:r w:rsidR="001C6FF8">
        <w:t>s</w:t>
      </w:r>
      <w:r>
        <w:t xml:space="preserve"> de calculs sont fixées selon des critères objectifs, identifiable</w:t>
      </w:r>
      <w:r w:rsidR="001C6FF8">
        <w:t>s</w:t>
      </w:r>
      <w:r>
        <w:t xml:space="preserve"> et constant</w:t>
      </w:r>
      <w:r w:rsidR="001C6FF8">
        <w:t>s</w:t>
      </w:r>
      <w:r>
        <w:t>.</w:t>
      </w:r>
    </w:p>
    <w:p w:rsidR="009B376B" w:rsidRDefault="00C55095" w:rsidP="009B376B">
      <w:pPr>
        <w:jc w:val="both"/>
      </w:pPr>
      <w:r>
        <w:t>Le versement même rég</w:t>
      </w:r>
      <w:r w:rsidR="001C6FF8">
        <w:t xml:space="preserve">ulier d’une prime qui ne dépend d’aucun critère fixe et précis et  dont le montant a toujours été variable </w:t>
      </w:r>
      <w:r w:rsidR="009B376B">
        <w:t>n’est donc pas un usage (</w:t>
      </w:r>
      <w:proofErr w:type="spellStart"/>
      <w:r w:rsidR="009B376B">
        <w:t>Cass</w:t>
      </w:r>
      <w:proofErr w:type="spellEnd"/>
      <w:r w:rsidR="009B376B">
        <w:t>. Soc., 13 mars 1996, n° 93-40.782).</w:t>
      </w:r>
    </w:p>
    <w:p w:rsidR="009B376B" w:rsidRDefault="009B376B" w:rsidP="009B376B">
      <w:pPr>
        <w:jc w:val="both"/>
      </w:pPr>
    </w:p>
    <w:p w:rsidR="009B376B" w:rsidRPr="009B376B" w:rsidRDefault="009B376B" w:rsidP="009B376B">
      <w:pPr>
        <w:jc w:val="both"/>
        <w:rPr>
          <w:b/>
        </w:rPr>
      </w:pPr>
      <w:r w:rsidRPr="009B376B">
        <w:rPr>
          <w:b/>
        </w:rPr>
        <w:t>Dénonciation :</w:t>
      </w:r>
    </w:p>
    <w:p w:rsidR="009B376B" w:rsidRDefault="009B376B" w:rsidP="009B376B">
      <w:pPr>
        <w:jc w:val="both"/>
      </w:pPr>
    </w:p>
    <w:p w:rsidR="009B376B" w:rsidRPr="009B376B" w:rsidRDefault="009B376B" w:rsidP="009B376B">
      <w:r>
        <w:t xml:space="preserve">L’employeur pour </w:t>
      </w:r>
      <w:r w:rsidRPr="009B376B">
        <w:t>dénoncer</w:t>
      </w:r>
      <w:r>
        <w:t xml:space="preserve"> un usage</w:t>
      </w:r>
      <w:r w:rsidRPr="009B376B">
        <w:t xml:space="preserve"> doit :</w:t>
      </w:r>
    </w:p>
    <w:p w:rsidR="009B376B" w:rsidRPr="009B376B" w:rsidRDefault="009B376B" w:rsidP="009B376B"/>
    <w:p w:rsidR="009B376B" w:rsidRDefault="009B376B" w:rsidP="009B376B">
      <w:pPr>
        <w:pStyle w:val="Paragraphedeliste"/>
        <w:numPr>
          <w:ilvl w:val="0"/>
          <w:numId w:val="2"/>
        </w:numPr>
      </w:pPr>
      <w:r w:rsidRPr="00534D99">
        <w:rPr>
          <w:b/>
        </w:rPr>
        <w:t>Informer les élus du personnel</w:t>
      </w:r>
      <w:r w:rsidRPr="009B376B">
        <w:t xml:space="preserve"> à l’occasion d’une r</w:t>
      </w:r>
      <w:r>
        <w:t xml:space="preserve">éunion avec inscription au PV </w:t>
      </w:r>
    </w:p>
    <w:p w:rsidR="009B376B" w:rsidRPr="009B376B" w:rsidRDefault="009B376B" w:rsidP="009B376B">
      <w:pPr>
        <w:pStyle w:val="Paragraphedeliste"/>
      </w:pPr>
      <w:r>
        <w:t>(</w:t>
      </w:r>
      <w:proofErr w:type="spellStart"/>
      <w:r w:rsidRPr="009B376B">
        <w:t>Cass.soc</w:t>
      </w:r>
      <w:proofErr w:type="spellEnd"/>
      <w:r w:rsidRPr="009B376B">
        <w:t xml:space="preserve"> 5 janv. 2005, N° 02-42.819)</w:t>
      </w:r>
    </w:p>
    <w:p w:rsidR="009B376B" w:rsidRPr="009B376B" w:rsidRDefault="009B376B" w:rsidP="009B376B"/>
    <w:p w:rsidR="009B376B" w:rsidRDefault="00534D99" w:rsidP="009B376B">
      <w:pPr>
        <w:numPr>
          <w:ilvl w:val="0"/>
          <w:numId w:val="1"/>
        </w:numPr>
      </w:pPr>
      <w:r w:rsidRPr="00534D99">
        <w:rPr>
          <w:b/>
        </w:rPr>
        <w:t>Notifier</w:t>
      </w:r>
      <w:r w:rsidR="009B376B" w:rsidRPr="00534D99">
        <w:rPr>
          <w:b/>
        </w:rPr>
        <w:t xml:space="preserve"> par courrier individuel à chaque salarié</w:t>
      </w:r>
      <w:r w:rsidR="009B376B" w:rsidRPr="009B376B">
        <w:t xml:space="preserve"> (recommandé ou remis en main propre contre signature) </w:t>
      </w:r>
      <w:proofErr w:type="spellStart"/>
      <w:r w:rsidR="009B376B" w:rsidRPr="009B376B">
        <w:t>Cass.soc</w:t>
      </w:r>
      <w:proofErr w:type="spellEnd"/>
      <w:r w:rsidR="009B376B" w:rsidRPr="009B376B">
        <w:t xml:space="preserve"> 7 </w:t>
      </w:r>
      <w:proofErr w:type="spellStart"/>
      <w:r w:rsidR="009B376B" w:rsidRPr="009B376B">
        <w:t>juill</w:t>
      </w:r>
      <w:proofErr w:type="spellEnd"/>
      <w:r w:rsidR="009B376B" w:rsidRPr="009B376B">
        <w:t xml:space="preserve">. 1998, N° 96-42.521; </w:t>
      </w:r>
      <w:proofErr w:type="spellStart"/>
      <w:r w:rsidR="009B376B" w:rsidRPr="009B376B">
        <w:t>Cass.soc</w:t>
      </w:r>
      <w:proofErr w:type="spellEnd"/>
      <w:r w:rsidR="009B376B" w:rsidRPr="009B376B">
        <w:t xml:space="preserve"> 20 sept. 2005, N° 03-41.549</w:t>
      </w:r>
    </w:p>
    <w:p w:rsidR="009B376B" w:rsidRPr="009B376B" w:rsidRDefault="009B376B" w:rsidP="009B376B">
      <w:pPr>
        <w:ind w:left="360"/>
      </w:pPr>
    </w:p>
    <w:p w:rsidR="009B376B" w:rsidRPr="009B376B" w:rsidRDefault="009B376B" w:rsidP="009B376B">
      <w:pPr>
        <w:numPr>
          <w:ilvl w:val="0"/>
          <w:numId w:val="1"/>
        </w:numPr>
      </w:pPr>
      <w:r w:rsidRPr="00534D99">
        <w:rPr>
          <w:b/>
        </w:rPr>
        <w:t>Observer un délai de prévenance</w:t>
      </w:r>
      <w:r w:rsidRPr="009B376B">
        <w:t xml:space="preserve"> suffisant </w:t>
      </w:r>
      <w:proofErr w:type="spellStart"/>
      <w:r w:rsidRPr="009B376B">
        <w:t>Cass.soc</w:t>
      </w:r>
      <w:proofErr w:type="spellEnd"/>
      <w:r w:rsidRPr="009B376B">
        <w:t xml:space="preserve"> 11 </w:t>
      </w:r>
      <w:proofErr w:type="spellStart"/>
      <w:r w:rsidRPr="009B376B">
        <w:t>fev</w:t>
      </w:r>
      <w:proofErr w:type="spellEnd"/>
      <w:r w:rsidRPr="009B376B">
        <w:t>. 1997, N° 94-41.469</w:t>
      </w:r>
    </w:p>
    <w:p w:rsidR="009B376B" w:rsidRPr="009B376B" w:rsidRDefault="009B376B" w:rsidP="009B376B"/>
    <w:p w:rsidR="009B376B" w:rsidRPr="009B376B" w:rsidRDefault="009B376B" w:rsidP="009B376B">
      <w:r w:rsidRPr="009B376B">
        <w:t xml:space="preserve">A défaut d’avoir respecter ces procédures il doit continuer </w:t>
      </w:r>
      <w:r>
        <w:t>à respecter l’usage</w:t>
      </w:r>
      <w:r w:rsidRPr="009B376B">
        <w:t xml:space="preserve"> </w:t>
      </w:r>
      <w:r>
        <w:t xml:space="preserve">et </w:t>
      </w:r>
      <w:r w:rsidRPr="009B376B">
        <w:t>si</w:t>
      </w:r>
      <w:r>
        <w:t xml:space="preserve"> il a supprimer l’acquis sans les</w:t>
      </w:r>
      <w:r w:rsidRPr="009B376B">
        <w:t xml:space="preserve"> respecter</w:t>
      </w:r>
      <w:r>
        <w:t>,</w:t>
      </w:r>
      <w:r w:rsidRPr="009B376B">
        <w:t xml:space="preserve"> tous les salariés qui se sont vus appliquer </w:t>
      </w:r>
      <w:r>
        <w:t>la suppression doivent se la</w:t>
      </w:r>
      <w:r w:rsidRPr="009B376B">
        <w:t xml:space="preserve"> faire</w:t>
      </w:r>
      <w:r>
        <w:t> restituer rétroactivement ?</w:t>
      </w:r>
    </w:p>
    <w:p w:rsidR="009B376B" w:rsidRDefault="009B376B" w:rsidP="009B376B">
      <w:pPr>
        <w:jc w:val="both"/>
      </w:pPr>
    </w:p>
    <w:p w:rsidR="00C55095" w:rsidRDefault="00C55095"/>
    <w:p w:rsidR="00C55095" w:rsidRDefault="00C55095"/>
    <w:sectPr w:rsidR="00C55095" w:rsidSect="00C5509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292DDC"/>
    <w:multiLevelType w:val="hybridMultilevel"/>
    <w:tmpl w:val="AD729B96"/>
    <w:lvl w:ilvl="0" w:tplc="25B0437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6B7118"/>
    <w:multiLevelType w:val="hybridMultilevel"/>
    <w:tmpl w:val="0F8A74D6"/>
    <w:lvl w:ilvl="0" w:tplc="0A7A56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55095"/>
    <w:rsid w:val="001C6FF8"/>
    <w:rsid w:val="00534D99"/>
    <w:rsid w:val="009B376B"/>
    <w:rsid w:val="00C55095"/>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F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9B376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0</Words>
  <Characters>0</Characters>
  <Application>Microsoft Word 12.1.0</Application>
  <DocSecurity>0</DocSecurity>
  <Lines>1</Lines>
  <Paragraphs>1</Paragraphs>
  <ScaleCrop>false</ScaleCrop>
  <Company>SESSD APF</Company>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 Claverie</dc:creator>
  <cp:keywords/>
  <cp:lastModifiedBy>Paule Claverie</cp:lastModifiedBy>
  <cp:revision>1</cp:revision>
  <dcterms:created xsi:type="dcterms:W3CDTF">2014-02-18T09:17:00Z</dcterms:created>
  <dcterms:modified xsi:type="dcterms:W3CDTF">2014-02-18T10:05:00Z</dcterms:modified>
</cp:coreProperties>
</file>