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E6" w:rsidRDefault="00737308">
      <w:pPr>
        <w:pStyle w:val="Titre"/>
      </w:pPr>
      <w:r>
        <w:t>MEMO</w:t>
      </w:r>
      <w:r w:rsidR="005822BE">
        <w:t xml:space="preserve"> DE FRANCAIS</w:t>
      </w:r>
    </w:p>
    <w:p w:rsidR="005822BE" w:rsidRPr="005822BE" w:rsidRDefault="005822BE" w:rsidP="005822BE">
      <w:pPr>
        <w:pStyle w:val="Sous-titre"/>
      </w:pPr>
    </w:p>
    <w:p w:rsidR="00220CE6" w:rsidRPr="00D9185A" w:rsidRDefault="001E35EE" w:rsidP="001E35EE">
      <w:pPr>
        <w:pStyle w:val="Titre"/>
        <w:jc w:val="left"/>
        <w:rPr>
          <w:color w:val="0070C0"/>
        </w:rPr>
      </w:pPr>
      <w:r w:rsidRPr="005E0278">
        <w:rPr>
          <w:color w:val="00B050"/>
        </w:rPr>
        <w:t>L’orthographe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8"/>
        <w:gridCol w:w="7797"/>
      </w:tblGrid>
      <w:tr w:rsidR="00220CE6" w:rsidRPr="005E0278" w:rsidTr="005E027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E6" w:rsidRPr="005E0278" w:rsidRDefault="005822BE">
            <w:pPr>
              <w:pStyle w:val="Titre"/>
              <w:snapToGrid w:val="0"/>
              <w:rPr>
                <w:b/>
                <w:bCs/>
                <w:sz w:val="22"/>
                <w:szCs w:val="22"/>
                <w:u w:val="double"/>
              </w:rPr>
            </w:pPr>
            <w:r w:rsidRPr="005E0278">
              <w:rPr>
                <w:b/>
                <w:bCs/>
                <w:sz w:val="22"/>
                <w:szCs w:val="22"/>
                <w:u w:val="double"/>
              </w:rPr>
              <w:t>CODE FICHES</w:t>
            </w:r>
          </w:p>
          <w:p w:rsidR="00220CE6" w:rsidRPr="005E0278" w:rsidRDefault="00220CE6">
            <w:pPr>
              <w:pStyle w:val="Titre"/>
              <w:rPr>
                <w:b/>
                <w:bCs/>
                <w:sz w:val="22"/>
                <w:szCs w:val="22"/>
                <w:u w:val="double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E6" w:rsidRPr="005E0278" w:rsidRDefault="005822BE">
            <w:pPr>
              <w:pStyle w:val="Titre"/>
              <w:snapToGrid w:val="0"/>
              <w:rPr>
                <w:b/>
                <w:bCs/>
                <w:sz w:val="22"/>
                <w:szCs w:val="22"/>
                <w:u w:val="double"/>
              </w:rPr>
            </w:pPr>
            <w:r w:rsidRPr="005E0278">
              <w:rPr>
                <w:b/>
                <w:bCs/>
                <w:sz w:val="22"/>
                <w:szCs w:val="22"/>
                <w:u w:val="double"/>
              </w:rPr>
              <w:t>INTITULE</w:t>
            </w:r>
          </w:p>
        </w:tc>
      </w:tr>
      <w:tr w:rsidR="00220CE6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E6" w:rsidRPr="005E0278" w:rsidRDefault="001E35EE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E6" w:rsidRPr="005E0278" w:rsidRDefault="00B3443B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A quoi sert l’orthographe ?</w:t>
            </w:r>
          </w:p>
        </w:tc>
      </w:tr>
      <w:tr w:rsidR="00220CE6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E6" w:rsidRPr="005E0278" w:rsidRDefault="001E35EE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E6" w:rsidRPr="005E0278" w:rsidRDefault="00D9185A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La lettre, le son</w:t>
            </w:r>
          </w:p>
        </w:tc>
      </w:tr>
      <w:tr w:rsidR="00220CE6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E6" w:rsidRPr="005E0278" w:rsidRDefault="001E35EE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E6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 xml:space="preserve">Distinguer les mots qui se ressemblent </w:t>
            </w:r>
          </w:p>
        </w:tc>
      </w:tr>
      <w:tr w:rsidR="00220CE6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E6" w:rsidRPr="005E0278" w:rsidRDefault="001E35EE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E6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Accorder le verbe avec son sujet (1)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C318F0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Acc</w:t>
            </w:r>
            <w:r w:rsidRPr="005E0278">
              <w:rPr>
                <w:color w:val="00B050"/>
                <w:sz w:val="22"/>
                <w:szCs w:val="22"/>
              </w:rPr>
              <w:t>order le verbe avec son sujet (2</w:t>
            </w:r>
            <w:r w:rsidRPr="005E0278">
              <w:rPr>
                <w:color w:val="00B050"/>
                <w:sz w:val="22"/>
                <w:szCs w:val="22"/>
              </w:rPr>
              <w:t>)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Reconnaître « à » / Reconnaître le pronom « on »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bCs/>
                <w:color w:val="00B050"/>
                <w:sz w:val="22"/>
                <w:szCs w:val="22"/>
              </w:rPr>
              <w:t>Reconnaître « est » et « c’est » / Reconnaître « ont » et « sont »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C318F0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Les consonnes finales muettes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Masculin ou féminin / Marquer le féminin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>
            <w:pPr>
              <w:snapToGrid w:val="0"/>
              <w:rPr>
                <w:rFonts w:ascii="Comic Sans MS" w:hAnsi="Comic Sans MS"/>
                <w:bCs/>
                <w:color w:val="00B05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B050"/>
                <w:sz w:val="22"/>
                <w:szCs w:val="22"/>
              </w:rPr>
              <w:t>Singulier ou pluriel / Marquer le pluriel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autoSpaceDE w:val="0"/>
              <w:snapToGrid w:val="0"/>
              <w:rPr>
                <w:rFonts w:ascii="Comic Sans MS" w:eastAsia="BGaramond-Regular" w:hAnsi="Comic Sans MS" w:cs="BGaramond-Regular"/>
                <w:bCs/>
                <w:color w:val="00B050"/>
                <w:sz w:val="22"/>
                <w:szCs w:val="22"/>
              </w:rPr>
            </w:pPr>
            <w:r w:rsidRPr="005E0278">
              <w:rPr>
                <w:rFonts w:ascii="Comic Sans MS" w:eastAsia="BGaramond-Regular" w:hAnsi="Comic Sans MS" w:cs="BGaramond-Regular"/>
                <w:bCs/>
                <w:color w:val="00B050"/>
                <w:sz w:val="22"/>
                <w:szCs w:val="22"/>
              </w:rPr>
              <w:t xml:space="preserve">Accorder l’adjectif qualificatif 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>
            <w:pPr>
              <w:autoSpaceDE w:val="0"/>
              <w:snapToGrid w:val="0"/>
              <w:rPr>
                <w:rFonts w:ascii="Comic Sans MS" w:eastAsia="BGaramond-Regular" w:hAnsi="Comic Sans MS" w:cs="BGaramond-Regular"/>
                <w:bCs/>
                <w:color w:val="00B050"/>
                <w:sz w:val="22"/>
                <w:szCs w:val="22"/>
              </w:rPr>
            </w:pPr>
            <w:r w:rsidRPr="005E0278">
              <w:rPr>
                <w:rFonts w:ascii="Comic Sans MS" w:eastAsia="BGaramond-Regular" w:hAnsi="Comic Sans MS" w:cs="BGaramond-Regular"/>
                <w:bCs/>
                <w:color w:val="00B050"/>
                <w:sz w:val="22"/>
                <w:szCs w:val="22"/>
              </w:rPr>
              <w:t>Les accords dans le groupe nominal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snapToGrid w:val="0"/>
              <w:rPr>
                <w:rFonts w:ascii="Comic Sans MS" w:hAnsi="Comic Sans MS"/>
                <w:bCs/>
                <w:color w:val="00B050"/>
                <w:sz w:val="22"/>
                <w:szCs w:val="22"/>
              </w:rPr>
            </w:pPr>
            <w:r w:rsidRPr="005E0278">
              <w:rPr>
                <w:rFonts w:ascii="Comic Sans MS" w:hAnsi="Comic Sans MS"/>
                <w:bCs/>
                <w:color w:val="00B050"/>
                <w:sz w:val="22"/>
                <w:szCs w:val="22"/>
              </w:rPr>
              <w:t>Les noms terminés par un « e » muet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F0 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Le pluriel des noms se terminant par « au », « eau », « al »</w:t>
            </w:r>
          </w:p>
        </w:tc>
      </w:tr>
      <w:tr w:rsidR="005E0278" w:rsidRPr="005E0278" w:rsidTr="005E0278">
        <w:trPr>
          <w:trHeight w:val="2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78" w:rsidRPr="005E0278" w:rsidRDefault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>FO 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8" w:rsidRPr="005E0278" w:rsidRDefault="005E0278" w:rsidP="005E0278">
            <w:pPr>
              <w:pStyle w:val="Titre"/>
              <w:snapToGrid w:val="0"/>
              <w:jc w:val="left"/>
              <w:rPr>
                <w:color w:val="00B050"/>
                <w:sz w:val="22"/>
                <w:szCs w:val="22"/>
              </w:rPr>
            </w:pPr>
            <w:r w:rsidRPr="005E0278">
              <w:rPr>
                <w:color w:val="00B050"/>
                <w:sz w:val="22"/>
                <w:szCs w:val="22"/>
              </w:rPr>
              <w:t xml:space="preserve">Reconnaître </w:t>
            </w:r>
            <w:r>
              <w:rPr>
                <w:color w:val="00B050"/>
                <w:sz w:val="22"/>
                <w:szCs w:val="22"/>
              </w:rPr>
              <w:t xml:space="preserve">la conjonction « et » / </w:t>
            </w:r>
            <w:r w:rsidRPr="005E0278">
              <w:rPr>
                <w:color w:val="00B050"/>
                <w:sz w:val="22"/>
                <w:szCs w:val="22"/>
              </w:rPr>
              <w:t xml:space="preserve">Reconnaître </w:t>
            </w:r>
            <w:r>
              <w:rPr>
                <w:color w:val="00B050"/>
                <w:sz w:val="22"/>
                <w:szCs w:val="22"/>
              </w:rPr>
              <w:t>« son », « ses » et « ces »</w:t>
            </w:r>
          </w:p>
        </w:tc>
      </w:tr>
    </w:tbl>
    <w:p w:rsidR="005822BE" w:rsidRDefault="005822BE">
      <w:pPr>
        <w:rPr>
          <w:rFonts w:ascii="Comic Sans MS" w:hAnsi="Comic Sans MS"/>
          <w:color w:val="00B05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00B05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00B050"/>
          <w:sz w:val="32"/>
          <w:szCs w:val="32"/>
        </w:rPr>
      </w:pPr>
    </w:p>
    <w:p w:rsidR="00220CE6" w:rsidRPr="005E0278" w:rsidRDefault="00E66F03">
      <w:pPr>
        <w:rPr>
          <w:rFonts w:ascii="Comic Sans MS" w:hAnsi="Comic Sans MS"/>
          <w:color w:val="0070C0"/>
          <w:sz w:val="32"/>
          <w:szCs w:val="32"/>
        </w:rPr>
      </w:pPr>
      <w:r w:rsidRPr="005E0278">
        <w:rPr>
          <w:rFonts w:ascii="Comic Sans MS" w:hAnsi="Comic Sans MS"/>
          <w:color w:val="0070C0"/>
          <w:sz w:val="32"/>
          <w:szCs w:val="32"/>
        </w:rPr>
        <w:t>La grammaire</w:t>
      </w:r>
    </w:p>
    <w:tbl>
      <w:tblPr>
        <w:tblStyle w:val="Grilledutableau"/>
        <w:tblW w:w="0" w:type="auto"/>
        <w:tblLook w:val="04A0"/>
      </w:tblPr>
      <w:tblGrid>
        <w:gridCol w:w="2802"/>
        <w:gridCol w:w="6945"/>
      </w:tblGrid>
      <w:tr w:rsidR="00E66F03" w:rsidRPr="005E0278" w:rsidTr="00E66F03">
        <w:trPr>
          <w:trHeight w:val="283"/>
        </w:trPr>
        <w:tc>
          <w:tcPr>
            <w:tcW w:w="2802" w:type="dxa"/>
          </w:tcPr>
          <w:p w:rsidR="00E66F03" w:rsidRPr="005E0278" w:rsidRDefault="00E66F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</w:t>
            </w:r>
          </w:p>
        </w:tc>
        <w:tc>
          <w:tcPr>
            <w:tcW w:w="6945" w:type="dxa"/>
          </w:tcPr>
          <w:p w:rsidR="00E66F03" w:rsidRPr="005E0278" w:rsidRDefault="00B3443B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A quoi sert la grammaire</w:t>
            </w:r>
            <w:r w:rsidR="005E0278">
              <w:rPr>
                <w:rFonts w:ascii="Comic Sans MS" w:hAnsi="Comic Sans MS"/>
                <w:color w:val="0070C0"/>
                <w:sz w:val="22"/>
                <w:szCs w:val="22"/>
              </w:rPr>
              <w:t> ?</w:t>
            </w:r>
          </w:p>
        </w:tc>
      </w:tr>
      <w:tr w:rsidR="00E66F03" w:rsidRPr="005E0278" w:rsidTr="00E66F03">
        <w:trPr>
          <w:trHeight w:val="283"/>
        </w:trPr>
        <w:tc>
          <w:tcPr>
            <w:tcW w:w="2802" w:type="dxa"/>
          </w:tcPr>
          <w:p w:rsidR="00E66F03" w:rsidRPr="005E0278" w:rsidRDefault="00E66F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2</w:t>
            </w:r>
          </w:p>
        </w:tc>
        <w:tc>
          <w:tcPr>
            <w:tcW w:w="6945" w:type="dxa"/>
          </w:tcPr>
          <w:p w:rsidR="00E66F03" w:rsidRPr="005E0278" w:rsidRDefault="00D9185A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Les mots et leur place</w:t>
            </w:r>
          </w:p>
        </w:tc>
      </w:tr>
      <w:tr w:rsidR="00E66F03" w:rsidRPr="005E0278" w:rsidTr="00E66F03">
        <w:trPr>
          <w:trHeight w:val="283"/>
        </w:trPr>
        <w:tc>
          <w:tcPr>
            <w:tcW w:w="2802" w:type="dxa"/>
          </w:tcPr>
          <w:p w:rsidR="00E66F03" w:rsidRPr="005E0278" w:rsidRDefault="00E66F0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3</w:t>
            </w:r>
          </w:p>
        </w:tc>
        <w:tc>
          <w:tcPr>
            <w:tcW w:w="6945" w:type="dxa"/>
          </w:tcPr>
          <w:p w:rsidR="00E66F03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</w:rPr>
              <w:t>Identifier le verbe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4</w:t>
            </w:r>
          </w:p>
        </w:tc>
        <w:tc>
          <w:tcPr>
            <w:tcW w:w="6945" w:type="dxa"/>
          </w:tcPr>
          <w:p w:rsidR="006855B8" w:rsidRPr="005E0278" w:rsidRDefault="006855B8" w:rsidP="00997043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 sujet du verbe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5</w:t>
            </w:r>
          </w:p>
        </w:tc>
        <w:tc>
          <w:tcPr>
            <w:tcW w:w="6945" w:type="dxa"/>
          </w:tcPr>
          <w:p w:rsidR="006855B8" w:rsidRPr="005E0278" w:rsidRDefault="006855B8" w:rsidP="00AA6634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Dans la phrase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> : Qui ? Quoi ? Où ? Quand ?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6</w:t>
            </w:r>
          </w:p>
        </w:tc>
        <w:tc>
          <w:tcPr>
            <w:tcW w:w="6945" w:type="dxa"/>
          </w:tcPr>
          <w:p w:rsidR="006855B8" w:rsidRPr="005E0278" w:rsidRDefault="006855B8" w:rsidP="00E3683C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et utiliser les pronoms personnels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 xml:space="preserve"> sujets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7</w:t>
            </w:r>
          </w:p>
        </w:tc>
        <w:tc>
          <w:tcPr>
            <w:tcW w:w="6945" w:type="dxa"/>
          </w:tcPr>
          <w:p w:rsidR="006855B8" w:rsidRPr="005E0278" w:rsidRDefault="006855B8" w:rsidP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>s</w:t>
            </w: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 xml:space="preserve"> complément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>s</w:t>
            </w: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 xml:space="preserve"> d’objet du verbe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> : COD et COI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8</w:t>
            </w:r>
          </w:p>
        </w:tc>
        <w:tc>
          <w:tcPr>
            <w:tcW w:w="6945" w:type="dxa"/>
          </w:tcPr>
          <w:p w:rsidR="006855B8" w:rsidRPr="005E0278" w:rsidRDefault="006855B8" w:rsidP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et utiliser les pronoms personnels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2"/>
                <w:szCs w:val="22"/>
              </w:rPr>
              <w:t>COD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9</w:t>
            </w:r>
          </w:p>
        </w:tc>
        <w:tc>
          <w:tcPr>
            <w:tcW w:w="6945" w:type="dxa"/>
          </w:tcPr>
          <w:p w:rsidR="006855B8" w:rsidRPr="005E0278" w:rsidRDefault="006855B8" w:rsidP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</w:rPr>
              <w:t xml:space="preserve">Identifier le nom et le groupe nominal 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10</w:t>
            </w:r>
          </w:p>
        </w:tc>
        <w:tc>
          <w:tcPr>
            <w:tcW w:w="6945" w:type="dxa"/>
          </w:tcPr>
          <w:p w:rsidR="006855B8" w:rsidRPr="005E0278" w:rsidRDefault="006855B8" w:rsidP="00F32CF0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les déterminants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11</w:t>
            </w:r>
          </w:p>
        </w:tc>
        <w:tc>
          <w:tcPr>
            <w:tcW w:w="6945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les adjectifs qualificatifs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12</w:t>
            </w:r>
          </w:p>
        </w:tc>
        <w:tc>
          <w:tcPr>
            <w:tcW w:w="6945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 nom complément d’un autre nom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13</w:t>
            </w:r>
          </w:p>
        </w:tc>
        <w:tc>
          <w:tcPr>
            <w:tcW w:w="6945" w:type="dxa"/>
          </w:tcPr>
          <w:p w:rsidR="006855B8" w:rsidRPr="005E0278" w:rsidRDefault="006855B8" w:rsidP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 xml:space="preserve">Identifier les formes affirmatives et négatives 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14</w:t>
            </w:r>
          </w:p>
        </w:tc>
        <w:tc>
          <w:tcPr>
            <w:tcW w:w="6945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Identifier les phrases déclaratives et interrogatives</w:t>
            </w:r>
          </w:p>
        </w:tc>
      </w:tr>
      <w:tr w:rsidR="006855B8" w:rsidRPr="005E0278" w:rsidTr="00E66F03">
        <w:trPr>
          <w:trHeight w:val="283"/>
        </w:trPr>
        <w:tc>
          <w:tcPr>
            <w:tcW w:w="2802" w:type="dxa"/>
          </w:tcPr>
          <w:p w:rsidR="006855B8" w:rsidRPr="005E0278" w:rsidRDefault="006855B8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FG 15</w:t>
            </w:r>
          </w:p>
        </w:tc>
        <w:tc>
          <w:tcPr>
            <w:tcW w:w="6945" w:type="dxa"/>
          </w:tcPr>
          <w:p w:rsidR="006855B8" w:rsidRPr="005E0278" w:rsidRDefault="006855B8" w:rsidP="006C1B86">
            <w:p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5E0278">
              <w:rPr>
                <w:rFonts w:ascii="Comic Sans MS" w:hAnsi="Comic Sans MS"/>
                <w:color w:val="0070C0"/>
                <w:sz w:val="22"/>
                <w:szCs w:val="22"/>
              </w:rPr>
              <w:t>Distinguer les noms, les verbes et les adjectifs qualificatifs</w:t>
            </w:r>
          </w:p>
        </w:tc>
      </w:tr>
    </w:tbl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5822BE" w:rsidRDefault="005822BE">
      <w:pPr>
        <w:rPr>
          <w:rFonts w:ascii="Comic Sans MS" w:hAnsi="Comic Sans MS"/>
          <w:color w:val="FF0000"/>
          <w:sz w:val="32"/>
          <w:szCs w:val="32"/>
        </w:rPr>
      </w:pPr>
    </w:p>
    <w:p w:rsidR="00E66F03" w:rsidRDefault="0059052B">
      <w:pPr>
        <w:rPr>
          <w:rFonts w:ascii="Comic Sans MS" w:hAnsi="Comic Sans MS"/>
          <w:color w:val="FF0000"/>
          <w:sz w:val="32"/>
          <w:szCs w:val="32"/>
        </w:rPr>
      </w:pPr>
      <w:r w:rsidRPr="0059052B">
        <w:rPr>
          <w:rFonts w:ascii="Comic Sans MS" w:hAnsi="Comic Sans MS"/>
          <w:color w:val="FF0000"/>
          <w:sz w:val="32"/>
          <w:szCs w:val="32"/>
        </w:rPr>
        <w:t>Le vocabulaire</w:t>
      </w:r>
    </w:p>
    <w:tbl>
      <w:tblPr>
        <w:tblStyle w:val="Grilledutableau"/>
        <w:tblW w:w="0" w:type="auto"/>
        <w:tblLook w:val="04A0"/>
      </w:tblPr>
      <w:tblGrid>
        <w:gridCol w:w="2802"/>
        <w:gridCol w:w="6945"/>
      </w:tblGrid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</w:t>
            </w:r>
          </w:p>
        </w:tc>
        <w:tc>
          <w:tcPr>
            <w:tcW w:w="6945" w:type="dxa"/>
          </w:tcPr>
          <w:p w:rsidR="0059052B" w:rsidRDefault="006E5DF8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A quoi sert le vocabulaire ?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2</w:t>
            </w:r>
          </w:p>
        </w:tc>
        <w:tc>
          <w:tcPr>
            <w:tcW w:w="6945" w:type="dxa"/>
          </w:tcPr>
          <w:p w:rsidR="0059052B" w:rsidRDefault="006E5DF8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Avec mon dictionnaire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3</w:t>
            </w:r>
          </w:p>
        </w:tc>
        <w:tc>
          <w:tcPr>
            <w:tcW w:w="6945" w:type="dxa"/>
          </w:tcPr>
          <w:p w:rsidR="0059052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Synonymes et sens voisin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4</w:t>
            </w:r>
          </w:p>
        </w:tc>
        <w:tc>
          <w:tcPr>
            <w:tcW w:w="6945" w:type="dxa"/>
          </w:tcPr>
          <w:p w:rsidR="0059052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Éviter de répéter un mot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5</w:t>
            </w:r>
          </w:p>
        </w:tc>
        <w:tc>
          <w:tcPr>
            <w:tcW w:w="6945" w:type="dxa"/>
          </w:tcPr>
          <w:p w:rsidR="0059052B" w:rsidRDefault="006C00CB" w:rsidP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 xml:space="preserve">Faire des comparaisons 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6</w:t>
            </w:r>
          </w:p>
        </w:tc>
        <w:tc>
          <w:tcPr>
            <w:tcW w:w="6945" w:type="dxa"/>
          </w:tcPr>
          <w:p w:rsidR="0059052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Les homonymes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7</w:t>
            </w:r>
          </w:p>
        </w:tc>
        <w:tc>
          <w:tcPr>
            <w:tcW w:w="6945" w:type="dxa"/>
          </w:tcPr>
          <w:p w:rsidR="0059052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La famille d’un mot</w:t>
            </w:r>
          </w:p>
        </w:tc>
      </w:tr>
      <w:tr w:rsidR="0059052B" w:rsidTr="0059052B">
        <w:trPr>
          <w:trHeight w:val="283"/>
        </w:trPr>
        <w:tc>
          <w:tcPr>
            <w:tcW w:w="2802" w:type="dxa"/>
          </w:tcPr>
          <w:p w:rsidR="0059052B" w:rsidRDefault="0059052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8</w:t>
            </w:r>
          </w:p>
        </w:tc>
        <w:tc>
          <w:tcPr>
            <w:tcW w:w="6945" w:type="dxa"/>
          </w:tcPr>
          <w:p w:rsidR="0059052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Des mots pour dire le contraire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9</w:t>
            </w:r>
          </w:p>
        </w:tc>
        <w:tc>
          <w:tcPr>
            <w:tcW w:w="6945" w:type="dxa"/>
          </w:tcPr>
          <w:p w:rsidR="006C00CB" w:rsidRDefault="006C00CB" w:rsidP="007F7321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Des préfixes pour dire le contraire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10</w:t>
            </w:r>
          </w:p>
        </w:tc>
        <w:tc>
          <w:tcPr>
            <w:tcW w:w="6945" w:type="dxa"/>
          </w:tcPr>
          <w:p w:rsidR="006C00CB" w:rsidRDefault="006C00CB" w:rsidP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Fabriquer des noms d’action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11</w:t>
            </w:r>
          </w:p>
        </w:tc>
        <w:tc>
          <w:tcPr>
            <w:tcW w:w="6945" w:type="dxa"/>
          </w:tcPr>
          <w:p w:rsidR="006C00CB" w:rsidRDefault="006C00CB" w:rsidP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Fabriquer des mots avec un adjectif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12</w:t>
            </w:r>
          </w:p>
        </w:tc>
        <w:tc>
          <w:tcPr>
            <w:tcW w:w="6945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Les mots composés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13</w:t>
            </w:r>
          </w:p>
        </w:tc>
        <w:tc>
          <w:tcPr>
            <w:tcW w:w="6945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Des mots pour se comprendre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14</w:t>
            </w:r>
          </w:p>
        </w:tc>
        <w:tc>
          <w:tcPr>
            <w:tcW w:w="6945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Des mots pour convaincre</w:t>
            </w:r>
          </w:p>
        </w:tc>
      </w:tr>
      <w:tr w:rsidR="006C00CB" w:rsidTr="0059052B">
        <w:trPr>
          <w:trHeight w:val="283"/>
        </w:trPr>
        <w:tc>
          <w:tcPr>
            <w:tcW w:w="2802" w:type="dxa"/>
          </w:tcPr>
          <w:p w:rsidR="006C00CB" w:rsidRDefault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FV 15</w:t>
            </w:r>
          </w:p>
        </w:tc>
        <w:tc>
          <w:tcPr>
            <w:tcW w:w="6945" w:type="dxa"/>
          </w:tcPr>
          <w:p w:rsidR="006C00CB" w:rsidRDefault="006C00CB" w:rsidP="006C00CB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Distinguer s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ens propre et sens figuré</w:t>
            </w:r>
          </w:p>
        </w:tc>
      </w:tr>
    </w:tbl>
    <w:p w:rsidR="0059052B" w:rsidRDefault="0059052B">
      <w:pPr>
        <w:rPr>
          <w:rFonts w:ascii="Comic Sans MS" w:hAnsi="Comic Sans MS"/>
          <w:color w:val="FF0000"/>
          <w:sz w:val="22"/>
          <w:szCs w:val="22"/>
        </w:rPr>
      </w:pPr>
    </w:p>
    <w:p w:rsidR="006E5DF8" w:rsidRDefault="006E5DF8">
      <w:pPr>
        <w:rPr>
          <w:rFonts w:ascii="Comic Sans MS" w:hAnsi="Comic Sans MS"/>
          <w:color w:val="FF0000"/>
          <w:sz w:val="22"/>
          <w:szCs w:val="22"/>
        </w:rPr>
      </w:pPr>
    </w:p>
    <w:p w:rsidR="006E5DF8" w:rsidRDefault="006E5DF8">
      <w:pPr>
        <w:rPr>
          <w:rFonts w:ascii="Comic Sans MS" w:hAnsi="Comic Sans MS"/>
          <w:color w:val="FF0000"/>
          <w:sz w:val="22"/>
          <w:szCs w:val="22"/>
        </w:rPr>
      </w:pPr>
    </w:p>
    <w:p w:rsidR="006E5DF8" w:rsidRDefault="006E5DF8">
      <w:pPr>
        <w:rPr>
          <w:rFonts w:ascii="Comic Sans MS" w:hAnsi="Comic Sans MS"/>
          <w:color w:val="FF0000"/>
          <w:sz w:val="22"/>
          <w:szCs w:val="22"/>
        </w:rPr>
      </w:pPr>
    </w:p>
    <w:p w:rsidR="006E5DF8" w:rsidRDefault="006E5DF8">
      <w:pPr>
        <w:rPr>
          <w:rFonts w:ascii="Comic Sans MS" w:hAnsi="Comic Sans MS"/>
          <w:color w:val="FF0000"/>
          <w:sz w:val="22"/>
          <w:szCs w:val="22"/>
        </w:rPr>
      </w:pPr>
    </w:p>
    <w:p w:rsidR="006E5DF8" w:rsidRDefault="006E5DF8">
      <w:pPr>
        <w:rPr>
          <w:rFonts w:ascii="Comic Sans MS" w:hAnsi="Comic Sans MS"/>
          <w:color w:val="FF0000"/>
          <w:sz w:val="22"/>
          <w:szCs w:val="22"/>
        </w:rPr>
      </w:pPr>
    </w:p>
    <w:p w:rsidR="006E5DF8" w:rsidRPr="006C00CB" w:rsidRDefault="006E5DF8">
      <w:pPr>
        <w:rPr>
          <w:rFonts w:ascii="Comic Sans MS" w:hAnsi="Comic Sans MS"/>
          <w:color w:val="7030A0"/>
          <w:sz w:val="32"/>
          <w:szCs w:val="32"/>
        </w:rPr>
      </w:pPr>
      <w:r w:rsidRPr="006C00CB">
        <w:rPr>
          <w:rFonts w:ascii="Comic Sans MS" w:hAnsi="Comic Sans MS"/>
          <w:color w:val="7030A0"/>
          <w:sz w:val="32"/>
          <w:szCs w:val="32"/>
        </w:rPr>
        <w:t>La conjugaison</w:t>
      </w:r>
    </w:p>
    <w:tbl>
      <w:tblPr>
        <w:tblStyle w:val="Grilledutableau"/>
        <w:tblW w:w="0" w:type="auto"/>
        <w:tblLook w:val="04A0"/>
      </w:tblPr>
      <w:tblGrid>
        <w:gridCol w:w="1668"/>
        <w:gridCol w:w="8646"/>
      </w:tblGrid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</w:t>
            </w:r>
          </w:p>
        </w:tc>
        <w:tc>
          <w:tcPr>
            <w:tcW w:w="8646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A quoi sert la conjugaison ?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2</w:t>
            </w:r>
          </w:p>
        </w:tc>
        <w:tc>
          <w:tcPr>
            <w:tcW w:w="8646" w:type="dxa"/>
          </w:tcPr>
          <w:p w:rsidR="006E5DF8" w:rsidRPr="006C00CB" w:rsidRDefault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Les personnes et l</w:t>
            </w:r>
            <w:r w:rsidR="00A90176" w:rsidRPr="006C00CB">
              <w:rPr>
                <w:rFonts w:ascii="Comic Sans MS" w:hAnsi="Comic Sans MS"/>
                <w:color w:val="7030A0"/>
                <w:sz w:val="22"/>
                <w:szCs w:val="22"/>
              </w:rPr>
              <w:t>es terminaisons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3</w:t>
            </w:r>
          </w:p>
        </w:tc>
        <w:tc>
          <w:tcPr>
            <w:tcW w:w="8646" w:type="dxa"/>
          </w:tcPr>
          <w:p w:rsidR="006E5DF8" w:rsidRPr="006C00CB" w:rsidRDefault="006C00CB" w:rsidP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Le r</w:t>
            </w:r>
            <w:r w:rsidR="00A90176"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adical et </w:t>
            </w:r>
            <w:r>
              <w:rPr>
                <w:rFonts w:ascii="Comic Sans MS" w:hAnsi="Comic Sans MS"/>
                <w:color w:val="7030A0"/>
                <w:sz w:val="22"/>
                <w:szCs w:val="22"/>
              </w:rPr>
              <w:t xml:space="preserve">la </w:t>
            </w:r>
            <w:r w:rsidR="00A90176" w:rsidRPr="006C00CB">
              <w:rPr>
                <w:rFonts w:ascii="Comic Sans MS" w:hAnsi="Comic Sans MS"/>
                <w:color w:val="7030A0"/>
                <w:sz w:val="22"/>
                <w:szCs w:val="22"/>
              </w:rPr>
              <w:t>terminaison : comment les verbes changent ?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4</w:t>
            </w:r>
          </w:p>
        </w:tc>
        <w:tc>
          <w:tcPr>
            <w:tcW w:w="8646" w:type="dxa"/>
          </w:tcPr>
          <w:p w:rsidR="006E5DF8" w:rsidRPr="006C00CB" w:rsidRDefault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L’</w:t>
            </w:r>
            <w:r w:rsidR="00A90176" w:rsidRPr="006C00CB">
              <w:rPr>
                <w:rFonts w:ascii="Comic Sans MS" w:hAnsi="Comic Sans MS"/>
                <w:color w:val="7030A0"/>
                <w:sz w:val="22"/>
                <w:szCs w:val="22"/>
              </w:rPr>
              <w:t>infinitif</w:t>
            </w:r>
            <w:r>
              <w:rPr>
                <w:rFonts w:ascii="Comic Sans MS" w:hAnsi="Comic Sans MS"/>
                <w:color w:val="7030A0"/>
                <w:sz w:val="22"/>
                <w:szCs w:val="22"/>
              </w:rPr>
              <w:t xml:space="preserve"> du verbe</w:t>
            </w:r>
            <w:r w:rsidR="00A90176"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 et les trois groupes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5</w:t>
            </w:r>
          </w:p>
        </w:tc>
        <w:tc>
          <w:tcPr>
            <w:tcW w:w="8646" w:type="dxa"/>
          </w:tcPr>
          <w:p w:rsidR="006E5DF8" w:rsidRPr="006C00CB" w:rsidRDefault="00A90176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Distinguer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le 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passé,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le 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présent et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le 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futur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6</w:t>
            </w:r>
          </w:p>
        </w:tc>
        <w:tc>
          <w:tcPr>
            <w:tcW w:w="8646" w:type="dxa"/>
          </w:tcPr>
          <w:p w:rsidR="006E5DF8" w:rsidRPr="006C00CB" w:rsidRDefault="00A90176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Utiliser le présent de l’indicatif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7</w:t>
            </w:r>
          </w:p>
        </w:tc>
        <w:tc>
          <w:tcPr>
            <w:tcW w:w="8646" w:type="dxa"/>
          </w:tcPr>
          <w:p w:rsidR="006E5DF8" w:rsidRPr="006C00CB" w:rsidRDefault="00A90176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Conjuguer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les verbes 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au présent de l’indicatif (1)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 – les terminaisons des 3 groupes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8</w:t>
            </w:r>
          </w:p>
        </w:tc>
        <w:tc>
          <w:tcPr>
            <w:tcW w:w="8646" w:type="dxa"/>
          </w:tcPr>
          <w:p w:rsidR="006E5DF8" w:rsidRPr="006C00CB" w:rsidRDefault="00222CF1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Conjuguer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les verbes 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au présent de l’indicatif (2)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 – « être », « avoir », « aller »…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9</w:t>
            </w:r>
          </w:p>
        </w:tc>
        <w:tc>
          <w:tcPr>
            <w:tcW w:w="8646" w:type="dxa"/>
          </w:tcPr>
          <w:p w:rsidR="006E5DF8" w:rsidRPr="006C00CB" w:rsidRDefault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Utiliser l’imparfait de l’indicatif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10</w:t>
            </w:r>
          </w:p>
        </w:tc>
        <w:tc>
          <w:tcPr>
            <w:tcW w:w="8646" w:type="dxa"/>
          </w:tcPr>
          <w:p w:rsidR="006E5DF8" w:rsidRPr="006C00CB" w:rsidRDefault="006C00CB" w:rsidP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Distinguer les temps simples et les temps composés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11</w:t>
            </w:r>
          </w:p>
        </w:tc>
        <w:tc>
          <w:tcPr>
            <w:tcW w:w="8646" w:type="dxa"/>
          </w:tcPr>
          <w:p w:rsidR="006E5DF8" w:rsidRPr="006C00CB" w:rsidRDefault="00222CF1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Utiliser le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 passé composé de l’indicatif (1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)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 – auxiliaire « avoir »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12</w:t>
            </w:r>
          </w:p>
        </w:tc>
        <w:tc>
          <w:tcPr>
            <w:tcW w:w="8646" w:type="dxa"/>
          </w:tcPr>
          <w:p w:rsidR="006E5DF8" w:rsidRPr="006C00CB" w:rsidRDefault="006C00CB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Utiliser le</w:t>
            </w:r>
            <w:r>
              <w:rPr>
                <w:rFonts w:ascii="Comic Sans MS" w:hAnsi="Comic Sans MS"/>
                <w:color w:val="7030A0"/>
                <w:sz w:val="22"/>
                <w:szCs w:val="22"/>
              </w:rPr>
              <w:t xml:space="preserve"> passé composé de l’indicatif (2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color w:val="7030A0"/>
                <w:sz w:val="22"/>
                <w:szCs w:val="22"/>
              </w:rPr>
              <w:t xml:space="preserve"> – auxiliaire « être »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13</w:t>
            </w:r>
          </w:p>
        </w:tc>
        <w:tc>
          <w:tcPr>
            <w:tcW w:w="8646" w:type="dxa"/>
          </w:tcPr>
          <w:p w:rsidR="006E5DF8" w:rsidRPr="006C00CB" w:rsidRDefault="00222CF1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Le futur simple et le futur proche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14</w:t>
            </w:r>
          </w:p>
        </w:tc>
        <w:tc>
          <w:tcPr>
            <w:tcW w:w="8646" w:type="dxa"/>
          </w:tcPr>
          <w:p w:rsidR="006E5DF8" w:rsidRPr="006C00CB" w:rsidRDefault="00222CF1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Conjuguer les verbes « appeler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 »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,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« 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jeter »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…</w:t>
            </w:r>
          </w:p>
        </w:tc>
      </w:tr>
      <w:tr w:rsidR="006E5DF8" w:rsidRPr="006C00CB" w:rsidTr="00F20377">
        <w:tc>
          <w:tcPr>
            <w:tcW w:w="1668" w:type="dxa"/>
          </w:tcPr>
          <w:p w:rsidR="006E5DF8" w:rsidRPr="006C00CB" w:rsidRDefault="006E5DF8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FC 15</w:t>
            </w:r>
          </w:p>
        </w:tc>
        <w:tc>
          <w:tcPr>
            <w:tcW w:w="8646" w:type="dxa"/>
          </w:tcPr>
          <w:p w:rsidR="006E5DF8" w:rsidRPr="006C00CB" w:rsidRDefault="00222CF1">
            <w:pPr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Conjuguer les verbes « lancer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 »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 xml:space="preserve">, 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« </w:t>
            </w:r>
            <w:r w:rsidRPr="006C00CB">
              <w:rPr>
                <w:rFonts w:ascii="Comic Sans MS" w:hAnsi="Comic Sans MS"/>
                <w:color w:val="7030A0"/>
                <w:sz w:val="22"/>
                <w:szCs w:val="22"/>
              </w:rPr>
              <w:t>manger »</w:t>
            </w:r>
            <w:r w:rsidR="006C00CB">
              <w:rPr>
                <w:rFonts w:ascii="Comic Sans MS" w:hAnsi="Comic Sans MS"/>
                <w:color w:val="7030A0"/>
                <w:sz w:val="22"/>
                <w:szCs w:val="22"/>
              </w:rPr>
              <w:t>…</w:t>
            </w:r>
          </w:p>
        </w:tc>
      </w:tr>
    </w:tbl>
    <w:p w:rsidR="006E5DF8" w:rsidRPr="006E5DF8" w:rsidRDefault="006E5DF8">
      <w:pPr>
        <w:rPr>
          <w:rFonts w:ascii="Comic Sans MS" w:hAnsi="Comic Sans MS"/>
          <w:color w:val="7030A0"/>
          <w:sz w:val="22"/>
          <w:szCs w:val="22"/>
        </w:rPr>
      </w:pPr>
    </w:p>
    <w:sectPr w:rsidR="006E5DF8" w:rsidRPr="006E5DF8" w:rsidSect="00220CE6">
      <w:footnotePr>
        <w:pos w:val="beneathText"/>
      </w:footnotePr>
      <w:pgSz w:w="11905" w:h="16837"/>
      <w:pgMar w:top="567" w:right="567" w:bottom="66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Garamond-Regula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91415"/>
    <w:rsid w:val="001E35EE"/>
    <w:rsid w:val="001E628C"/>
    <w:rsid w:val="00220CE6"/>
    <w:rsid w:val="00222CF1"/>
    <w:rsid w:val="00291415"/>
    <w:rsid w:val="00412698"/>
    <w:rsid w:val="004E3453"/>
    <w:rsid w:val="00543239"/>
    <w:rsid w:val="005822BE"/>
    <w:rsid w:val="0059052B"/>
    <w:rsid w:val="005E0278"/>
    <w:rsid w:val="006855B8"/>
    <w:rsid w:val="006C00CB"/>
    <w:rsid w:val="006E5DF8"/>
    <w:rsid w:val="00726286"/>
    <w:rsid w:val="00737308"/>
    <w:rsid w:val="00A90176"/>
    <w:rsid w:val="00B3443B"/>
    <w:rsid w:val="00D9185A"/>
    <w:rsid w:val="00E66F03"/>
    <w:rsid w:val="00F20377"/>
    <w:rsid w:val="00FC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E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CE6"/>
  </w:style>
  <w:style w:type="character" w:customStyle="1" w:styleId="WW-Absatz-Standardschriftart">
    <w:name w:val="WW-Absatz-Standardschriftart"/>
    <w:rsid w:val="00220CE6"/>
  </w:style>
  <w:style w:type="character" w:customStyle="1" w:styleId="WW-Absatz-Standardschriftart1">
    <w:name w:val="WW-Absatz-Standardschriftart1"/>
    <w:rsid w:val="00220CE6"/>
  </w:style>
  <w:style w:type="character" w:customStyle="1" w:styleId="WW-Absatz-Standardschriftart11">
    <w:name w:val="WW-Absatz-Standardschriftart11"/>
    <w:rsid w:val="00220CE6"/>
  </w:style>
  <w:style w:type="character" w:customStyle="1" w:styleId="Policepardfaut1">
    <w:name w:val="Police par défaut1"/>
    <w:rsid w:val="00220CE6"/>
  </w:style>
  <w:style w:type="paragraph" w:customStyle="1" w:styleId="Titre1">
    <w:name w:val="Titre1"/>
    <w:basedOn w:val="Normal"/>
    <w:next w:val="Corpsdetexte"/>
    <w:rsid w:val="00220C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220CE6"/>
    <w:pPr>
      <w:spacing w:after="120"/>
    </w:pPr>
  </w:style>
  <w:style w:type="paragraph" w:styleId="Liste">
    <w:name w:val="List"/>
    <w:basedOn w:val="Corpsdetexte"/>
    <w:semiHidden/>
    <w:rsid w:val="00220CE6"/>
    <w:rPr>
      <w:rFonts w:cs="Tahoma"/>
    </w:rPr>
  </w:style>
  <w:style w:type="paragraph" w:customStyle="1" w:styleId="Lgende1">
    <w:name w:val="Légende1"/>
    <w:basedOn w:val="Normal"/>
    <w:rsid w:val="00220CE6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20CE6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220CE6"/>
    <w:pPr>
      <w:jc w:val="center"/>
    </w:pPr>
    <w:rPr>
      <w:rFonts w:ascii="Comic Sans MS" w:hAnsi="Comic Sans MS"/>
      <w:sz w:val="32"/>
    </w:rPr>
  </w:style>
  <w:style w:type="paragraph" w:styleId="Sous-titre">
    <w:name w:val="Subtitle"/>
    <w:basedOn w:val="Normal"/>
    <w:next w:val="Corpsdetexte"/>
    <w:qFormat/>
    <w:rsid w:val="00220CE6"/>
    <w:pPr>
      <w:spacing w:after="60"/>
      <w:jc w:val="center"/>
    </w:pPr>
    <w:rPr>
      <w:rFonts w:ascii="Arial" w:hAnsi="Arial" w:cs="Arial"/>
    </w:rPr>
  </w:style>
  <w:style w:type="paragraph" w:customStyle="1" w:styleId="Contenudetableau">
    <w:name w:val="Contenu de tableau"/>
    <w:basedOn w:val="Normal"/>
    <w:rsid w:val="00220CE6"/>
    <w:pPr>
      <w:suppressLineNumbers/>
    </w:pPr>
  </w:style>
  <w:style w:type="paragraph" w:customStyle="1" w:styleId="Titredetableau">
    <w:name w:val="Titre de tableau"/>
    <w:basedOn w:val="Contenudetableau"/>
    <w:rsid w:val="00220CE6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E66F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REGLES DE MATHEMATIQUES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REGLES DE MATHEMATIQUES</dc:title>
  <dc:creator>ecole  de molles</dc:creator>
  <cp:lastModifiedBy>Amandine</cp:lastModifiedBy>
  <cp:revision>3</cp:revision>
  <cp:lastPrinted>2008-09-15T10:14:00Z</cp:lastPrinted>
  <dcterms:created xsi:type="dcterms:W3CDTF">2012-08-12T16:35:00Z</dcterms:created>
  <dcterms:modified xsi:type="dcterms:W3CDTF">2012-08-12T17:06:00Z</dcterms:modified>
</cp:coreProperties>
</file>