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Cardinal nous voilà</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Introduire des éléments de vocabulaire structurant l’espace et le temps. Mettre en évidence la notion de propriété commune, de classement, de comparaison. Développer le principe cardinal du comptage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Les activités proposées à point de départ ludique respectent l’épanouissement global de l’enfant et le développement de toutes ses possibilités.Oublier le tout dit, le tout écrit, faire des jeux adaptés et problématiques dans la difficulté.</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Au delà de la connaissance mathématique insister sur la compréhension. La maîtrise du nombre réel cardinal construit plus que l’apprentissage de la comptine numérique presque virtuelle et ordinale.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comparaison n’est pas raison mais y contribue.</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