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F1" w:rsidRPr="00976C14" w:rsidRDefault="00134924" w:rsidP="007501F1">
      <w:pPr>
        <w:spacing w:before="12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Sketch Block" w:hAnsi="Sketch Block"/>
          <w:noProof/>
          <w:color w:val="76923C" w:themeColor="accent3" w:themeShade="BF"/>
          <w:sz w:val="72"/>
          <w:szCs w:val="7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pt;margin-top:48pt;width:237.75pt;height:21.75pt;z-index:251658240" stroked="f">
            <v:fill opacity="0"/>
            <v:textbox>
              <w:txbxContent>
                <w:p w:rsidR="00134924" w:rsidRPr="0026599D" w:rsidRDefault="00134924" w:rsidP="00134924">
                  <w:pPr>
                    <w:rPr>
                      <w:rFonts w:ascii="Delius" w:hAnsi="Delius"/>
                      <w:sz w:val="18"/>
                      <w:szCs w:val="18"/>
                    </w:rPr>
                  </w:pPr>
                  <w:r w:rsidRPr="0026599D">
                    <w:rPr>
                      <w:rFonts w:ascii="Delius" w:hAnsi="Delius"/>
                      <w:color w:val="808080" w:themeColor="background1" w:themeShade="80"/>
                      <w:sz w:val="18"/>
                      <w:szCs w:val="18"/>
                    </w:rPr>
                    <w:t>Téléchargé gratuitement sur</w:t>
                  </w:r>
                  <w:r w:rsidRPr="0026599D">
                    <w:rPr>
                      <w:rFonts w:ascii="Delius" w:hAnsi="Delius"/>
                      <w:sz w:val="18"/>
                      <w:szCs w:val="18"/>
                    </w:rPr>
                    <w:t xml:space="preserve"> </w:t>
                  </w:r>
                  <w:hyperlink r:id="rId5" w:history="1">
                    <w:r w:rsidRPr="0026599D">
                      <w:rPr>
                        <w:rStyle w:val="Lienhypertexte"/>
                        <w:rFonts w:ascii="Delius" w:hAnsi="Delius"/>
                        <w:color w:val="31849B" w:themeColor="accent5" w:themeShade="BF"/>
                        <w:sz w:val="18"/>
                        <w:szCs w:val="18"/>
                      </w:rPr>
                      <w:t>https://viedemaitresse.fr</w:t>
                    </w:r>
                  </w:hyperlink>
                  <w:r w:rsidRPr="0026599D">
                    <w:rPr>
                      <w:rFonts w:ascii="Delius" w:hAnsi="Delius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7501F1">
        <w:rPr>
          <w:rFonts w:ascii="Sketch Block" w:hAnsi="Sketch Block"/>
          <w:color w:val="76923C" w:themeColor="accent3" w:themeShade="BF"/>
          <w:sz w:val="72"/>
          <w:szCs w:val="72"/>
        </w:rPr>
        <w:t>C</w:t>
      </w:r>
      <w:r w:rsidR="007501F1">
        <w:rPr>
          <w:rFonts w:ascii="Sketch Block" w:hAnsi="Sketch Block"/>
          <w:color w:val="E36C0A" w:themeColor="accent6" w:themeShade="BF"/>
          <w:sz w:val="72"/>
          <w:szCs w:val="72"/>
        </w:rPr>
        <w:t>a</w:t>
      </w:r>
      <w:r w:rsidR="007501F1">
        <w:rPr>
          <w:rFonts w:ascii="Sketch Block" w:hAnsi="Sketch Block"/>
          <w:color w:val="5F497A" w:themeColor="accent4" w:themeShade="BF"/>
          <w:sz w:val="72"/>
          <w:szCs w:val="72"/>
        </w:rPr>
        <w:t>h</w:t>
      </w:r>
      <w:r w:rsidR="007501F1">
        <w:rPr>
          <w:rFonts w:ascii="Sketch Block" w:hAnsi="Sketch Block"/>
          <w:color w:val="31849B" w:themeColor="accent5" w:themeShade="BF"/>
          <w:sz w:val="72"/>
          <w:szCs w:val="72"/>
        </w:rPr>
        <w:t>i</w:t>
      </w:r>
      <w:r w:rsidR="007501F1">
        <w:rPr>
          <w:rFonts w:ascii="Sketch Block" w:hAnsi="Sketch Block"/>
          <w:color w:val="76923C" w:themeColor="accent3" w:themeShade="BF"/>
          <w:sz w:val="72"/>
          <w:szCs w:val="72"/>
        </w:rPr>
        <w:t>e</w:t>
      </w:r>
      <w:r w:rsidR="007501F1">
        <w:rPr>
          <w:rFonts w:ascii="Sketch Block" w:hAnsi="Sketch Block"/>
          <w:color w:val="E36C0A" w:themeColor="accent6" w:themeShade="BF"/>
          <w:sz w:val="72"/>
          <w:szCs w:val="72"/>
        </w:rPr>
        <w:t xml:space="preserve">r </w:t>
      </w:r>
      <w:r w:rsidR="007501F1">
        <w:rPr>
          <w:rFonts w:ascii="Sketch Block" w:hAnsi="Sketch Block"/>
          <w:color w:val="5F497A" w:themeColor="accent4" w:themeShade="BF"/>
          <w:sz w:val="72"/>
          <w:szCs w:val="72"/>
        </w:rPr>
        <w:t>d</w:t>
      </w:r>
      <w:r w:rsidR="007501F1">
        <w:rPr>
          <w:rFonts w:ascii="Sketch Block" w:hAnsi="Sketch Block"/>
          <w:color w:val="31849B" w:themeColor="accent5" w:themeShade="BF"/>
          <w:sz w:val="72"/>
          <w:szCs w:val="72"/>
        </w:rPr>
        <w:t xml:space="preserve">e </w:t>
      </w:r>
      <w:r w:rsidR="007501F1" w:rsidRPr="007501F1">
        <w:rPr>
          <w:rFonts w:ascii="Sketch Block" w:hAnsi="Sketch Block"/>
          <w:color w:val="76923C" w:themeColor="accent3" w:themeShade="BF"/>
          <w:sz w:val="72"/>
          <w:szCs w:val="72"/>
        </w:rPr>
        <w:t>l</w:t>
      </w:r>
      <w:r w:rsidR="007501F1" w:rsidRPr="007501F1">
        <w:rPr>
          <w:rFonts w:ascii="Sketch Block" w:hAnsi="Sketch Block"/>
          <w:color w:val="E36C0A" w:themeColor="accent6" w:themeShade="BF"/>
          <w:sz w:val="72"/>
          <w:szCs w:val="72"/>
        </w:rPr>
        <w:t>a</w:t>
      </w:r>
      <w:r w:rsidR="007501F1">
        <w:rPr>
          <w:rFonts w:ascii="Sketch Block" w:hAnsi="Sketch Block"/>
          <w:color w:val="31849B" w:themeColor="accent5" w:themeShade="BF"/>
          <w:sz w:val="72"/>
          <w:szCs w:val="72"/>
        </w:rPr>
        <w:t xml:space="preserve"> </w:t>
      </w:r>
      <w:r w:rsidR="007501F1" w:rsidRPr="007501F1">
        <w:rPr>
          <w:rFonts w:ascii="Sketch Block" w:hAnsi="Sketch Block"/>
          <w:color w:val="5F497A" w:themeColor="accent4" w:themeShade="BF"/>
          <w:sz w:val="72"/>
          <w:szCs w:val="72"/>
        </w:rPr>
        <w:t>m</w:t>
      </w:r>
      <w:r w:rsidR="007501F1">
        <w:rPr>
          <w:rFonts w:ascii="Sketch Block" w:hAnsi="Sketch Block"/>
          <w:color w:val="31849B" w:themeColor="accent5" w:themeShade="BF"/>
          <w:sz w:val="72"/>
          <w:szCs w:val="72"/>
        </w:rPr>
        <w:t>a</w:t>
      </w:r>
      <w:r w:rsidR="007501F1" w:rsidRPr="007501F1">
        <w:rPr>
          <w:rFonts w:ascii="Sketch Block" w:hAnsi="Sketch Block"/>
          <w:color w:val="76923C" w:themeColor="accent3" w:themeShade="BF"/>
          <w:sz w:val="72"/>
          <w:szCs w:val="72"/>
        </w:rPr>
        <w:t>i</w:t>
      </w:r>
      <w:r w:rsidR="007501F1" w:rsidRPr="007501F1">
        <w:rPr>
          <w:rFonts w:ascii="Sketch Block" w:hAnsi="Sketch Block"/>
          <w:color w:val="E36C0A" w:themeColor="accent6" w:themeShade="BF"/>
          <w:sz w:val="72"/>
          <w:szCs w:val="72"/>
        </w:rPr>
        <w:t>t</w:t>
      </w:r>
      <w:r w:rsidR="007501F1" w:rsidRPr="007501F1">
        <w:rPr>
          <w:rFonts w:ascii="Sketch Block" w:hAnsi="Sketch Block"/>
          <w:color w:val="5F497A" w:themeColor="accent4" w:themeShade="BF"/>
          <w:sz w:val="72"/>
          <w:szCs w:val="72"/>
        </w:rPr>
        <w:t>r</w:t>
      </w:r>
      <w:r w:rsidR="007501F1">
        <w:rPr>
          <w:rFonts w:ascii="Sketch Block" w:hAnsi="Sketch Block"/>
          <w:color w:val="31849B" w:themeColor="accent5" w:themeShade="BF"/>
          <w:sz w:val="72"/>
          <w:szCs w:val="72"/>
        </w:rPr>
        <w:t>e</w:t>
      </w:r>
      <w:r w:rsidR="007501F1" w:rsidRPr="007501F1">
        <w:rPr>
          <w:rFonts w:ascii="Sketch Block" w:hAnsi="Sketch Block"/>
          <w:color w:val="76923C" w:themeColor="accent3" w:themeShade="BF"/>
          <w:sz w:val="72"/>
          <w:szCs w:val="72"/>
        </w:rPr>
        <w:t>s</w:t>
      </w:r>
      <w:r w:rsidR="007501F1" w:rsidRPr="007501F1">
        <w:rPr>
          <w:rFonts w:ascii="Sketch Block" w:hAnsi="Sketch Block"/>
          <w:color w:val="E36C0A" w:themeColor="accent6" w:themeShade="BF"/>
          <w:sz w:val="72"/>
          <w:szCs w:val="72"/>
        </w:rPr>
        <w:t>s</w:t>
      </w:r>
      <w:r w:rsidR="007501F1" w:rsidRPr="007501F1">
        <w:rPr>
          <w:rFonts w:ascii="Sketch Block" w:hAnsi="Sketch Block"/>
          <w:color w:val="5F497A" w:themeColor="accent4" w:themeShade="BF"/>
          <w:sz w:val="72"/>
          <w:szCs w:val="72"/>
        </w:rPr>
        <w:t>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300"/>
      </w:tblGrid>
      <w:tr w:rsidR="007501F1" w:rsidTr="00594ACD">
        <w:tc>
          <w:tcPr>
            <w:tcW w:w="11300" w:type="dxa"/>
            <w:shd w:val="clear" w:color="auto" w:fill="F2F2F2" w:themeFill="background1" w:themeFillShade="F2"/>
            <w:vAlign w:val="center"/>
          </w:tcPr>
          <w:p w:rsidR="007501F1" w:rsidRPr="00976C14" w:rsidRDefault="007501F1" w:rsidP="00594ACD">
            <w:pPr>
              <w:spacing w:before="120"/>
              <w:jc w:val="center"/>
              <w:rPr>
                <w:rFonts w:ascii="SimpleRonde" w:hAnsi="SimpleRonde"/>
                <w:sz w:val="32"/>
                <w:szCs w:val="32"/>
              </w:rPr>
            </w:pPr>
            <w:r>
              <w:rPr>
                <w:rFonts w:ascii="SimpleRonde" w:hAnsi="SimpleRonde"/>
                <w:sz w:val="32"/>
                <w:szCs w:val="32"/>
              </w:rPr>
              <w:t xml:space="preserve">Cahier de la maitresse </w:t>
            </w:r>
            <w:r w:rsidRPr="00A20C91">
              <w:rPr>
                <w:rFonts w:ascii="Delius" w:hAnsi="Delius"/>
              </w:rPr>
              <w:t>(contenu)</w:t>
            </w:r>
          </w:p>
        </w:tc>
      </w:tr>
      <w:tr w:rsidR="007501F1" w:rsidTr="00594ACD">
        <w:tc>
          <w:tcPr>
            <w:tcW w:w="11300" w:type="dxa"/>
          </w:tcPr>
          <w:p w:rsidR="007501F1" w:rsidRDefault="007501F1" w:rsidP="00594ACD">
            <w:pPr>
              <w:spacing w:before="120"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sym w:font="Wingdings" w:char="F072"/>
            </w:r>
            <w:r>
              <w:rPr>
                <w:rFonts w:ascii="Delius" w:hAnsi="Delius"/>
              </w:rPr>
              <w:t xml:space="preserve"> </w:t>
            </w:r>
            <w:r w:rsidRPr="008C1C6D">
              <w:rPr>
                <w:rFonts w:ascii="Delius" w:hAnsi="Delius"/>
                <w:b/>
                <w:u w:val="single"/>
              </w:rPr>
              <w:t>Administratif :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Calendrier scolaire 2019 / 2020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Découpage des périodes et des vacances scolaires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Liste des élèves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5 pages EDT : 1 par période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Copie de la feuille de suivi de la coopérative scolaire</w:t>
            </w:r>
          </w:p>
          <w:p w:rsidR="007501F1" w:rsidRPr="008C1C6D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EDT piscine / créneaux du complexe sportif</w:t>
            </w:r>
          </w:p>
          <w:p w:rsidR="007501F1" w:rsidRDefault="007501F1" w:rsidP="00594ACD">
            <w:pPr>
              <w:spacing w:line="360" w:lineRule="auto"/>
              <w:rPr>
                <w:rFonts w:ascii="Delius" w:hAnsi="Delius"/>
              </w:rPr>
            </w:pPr>
          </w:p>
          <w:p w:rsidR="007501F1" w:rsidRDefault="007501F1" w:rsidP="00594ACD">
            <w:p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sym w:font="Wingdings" w:char="F072"/>
            </w:r>
            <w:r>
              <w:rPr>
                <w:rFonts w:ascii="Delius" w:hAnsi="Delius"/>
              </w:rPr>
              <w:t xml:space="preserve"> </w:t>
            </w:r>
            <w:r w:rsidRPr="008C1C6D">
              <w:rPr>
                <w:rFonts w:ascii="Delius" w:hAnsi="Delius"/>
                <w:b/>
                <w:u w:val="single"/>
              </w:rPr>
              <w:t>Réunions :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Calendriers mensuels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 xml:space="preserve">Date des réunions </w:t>
            </w:r>
            <w:r w:rsidRPr="008C1C6D">
              <w:rPr>
                <w:rFonts w:ascii="Delius" w:hAnsi="Delius"/>
                <w:color w:val="808080" w:themeColor="background1" w:themeShade="80"/>
              </w:rPr>
              <w:t>(suivi des 108 heures)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Prise de notes / compte-rendu de réunion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…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…</w:t>
            </w:r>
          </w:p>
          <w:p w:rsidR="007501F1" w:rsidRPr="008C1C6D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…</w:t>
            </w:r>
          </w:p>
          <w:p w:rsidR="007501F1" w:rsidRDefault="007501F1" w:rsidP="00594ACD">
            <w:pPr>
              <w:spacing w:line="360" w:lineRule="auto"/>
              <w:rPr>
                <w:rFonts w:ascii="Delius" w:hAnsi="Delius"/>
              </w:rPr>
            </w:pPr>
          </w:p>
          <w:p w:rsidR="007501F1" w:rsidRDefault="007501F1" w:rsidP="00594ACD">
            <w:p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sym w:font="Wingdings" w:char="F072"/>
            </w:r>
            <w:r>
              <w:rPr>
                <w:rFonts w:ascii="Delius" w:hAnsi="Delius"/>
              </w:rPr>
              <w:t xml:space="preserve"> </w:t>
            </w:r>
            <w:r w:rsidRPr="008C1C6D">
              <w:rPr>
                <w:rFonts w:ascii="Delius" w:hAnsi="Delius"/>
                <w:b/>
                <w:u w:val="single"/>
              </w:rPr>
              <w:t>Suivi des élèves :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Résultats évaluations début CE1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Suivi de la fluence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 xml:space="preserve">Suivi des APC </w:t>
            </w:r>
            <w:r w:rsidRPr="002F01FC">
              <w:rPr>
                <w:rFonts w:ascii="Delius" w:hAnsi="Delius"/>
                <w:color w:val="808080" w:themeColor="background1" w:themeShade="80"/>
              </w:rPr>
              <w:t xml:space="preserve">(élèves, compétences travaillées, durées, progrès, </w:t>
            </w:r>
            <w:proofErr w:type="spellStart"/>
            <w:r w:rsidRPr="002F01FC">
              <w:rPr>
                <w:rFonts w:ascii="Delius" w:hAnsi="Delius"/>
                <w:color w:val="808080" w:themeColor="background1" w:themeShade="80"/>
              </w:rPr>
              <w:t>etc</w:t>
            </w:r>
            <w:proofErr w:type="spellEnd"/>
            <w:r w:rsidRPr="002F01FC">
              <w:rPr>
                <w:rFonts w:ascii="Delius" w:hAnsi="Delius"/>
                <w:color w:val="808080" w:themeColor="background1" w:themeShade="80"/>
              </w:rPr>
              <w:t>…)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Dates de réunions avec les parents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Compte-rendu des entretiens et rencontres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Compte-rendu des ESS</w:t>
            </w:r>
          </w:p>
          <w:p w:rsidR="007501F1" w:rsidRPr="008C1C6D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Autres documents de suivi</w:t>
            </w:r>
          </w:p>
          <w:p w:rsidR="007501F1" w:rsidRDefault="007501F1" w:rsidP="00594ACD">
            <w:pPr>
              <w:spacing w:line="360" w:lineRule="auto"/>
              <w:rPr>
                <w:rFonts w:ascii="Delius" w:hAnsi="Delius"/>
              </w:rPr>
            </w:pPr>
          </w:p>
          <w:p w:rsidR="007501F1" w:rsidRDefault="007501F1" w:rsidP="00594ACD">
            <w:p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sym w:font="Wingdings" w:char="F072"/>
            </w:r>
            <w:r>
              <w:rPr>
                <w:rFonts w:ascii="Delius" w:hAnsi="Delius"/>
              </w:rPr>
              <w:t xml:space="preserve"> </w:t>
            </w:r>
            <w:r w:rsidRPr="008C1C6D">
              <w:rPr>
                <w:rFonts w:ascii="Delius" w:hAnsi="Delius"/>
                <w:b/>
                <w:u w:val="single"/>
              </w:rPr>
              <w:t>Animations pédagogiques :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Calendrier des animations pédagogiques</w:t>
            </w:r>
          </w:p>
          <w:p w:rsidR="007501F1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Récapitulatif Gaia</w:t>
            </w:r>
          </w:p>
          <w:p w:rsidR="007501F1" w:rsidRPr="002F01FC" w:rsidRDefault="007501F1" w:rsidP="00594ACD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="Delius" w:hAnsi="Delius"/>
              </w:rPr>
            </w:pPr>
            <w:r>
              <w:rPr>
                <w:rFonts w:ascii="Delius" w:hAnsi="Delius"/>
              </w:rPr>
              <w:t>Prises de note</w:t>
            </w:r>
          </w:p>
        </w:tc>
      </w:tr>
    </w:tbl>
    <w:p w:rsidR="00127406" w:rsidRDefault="00127406" w:rsidP="00D7283D">
      <w:pPr>
        <w:spacing w:line="360" w:lineRule="auto"/>
      </w:pPr>
    </w:p>
    <w:sectPr w:rsidR="00127406" w:rsidSect="00D7283D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496"/>
    <w:multiLevelType w:val="hybridMultilevel"/>
    <w:tmpl w:val="6E1215CC"/>
    <w:lvl w:ilvl="0" w:tplc="68FCFF86">
      <w:numFmt w:val="bullet"/>
      <w:lvlText w:val="-"/>
      <w:lvlJc w:val="left"/>
      <w:pPr>
        <w:ind w:left="720" w:hanging="360"/>
      </w:pPr>
      <w:rPr>
        <w:rFonts w:ascii="Delius" w:eastAsiaTheme="minorHAnsi" w:hAnsi="Deliu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501F1"/>
    <w:rsid w:val="00075B26"/>
    <w:rsid w:val="00127406"/>
    <w:rsid w:val="00131211"/>
    <w:rsid w:val="00134924"/>
    <w:rsid w:val="006C7A42"/>
    <w:rsid w:val="007501F1"/>
    <w:rsid w:val="00852E6F"/>
    <w:rsid w:val="008814DE"/>
    <w:rsid w:val="00D7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01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01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4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demaitres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2019-08-15T09:03:00Z</dcterms:created>
  <dcterms:modified xsi:type="dcterms:W3CDTF">2019-08-15T09:03:00Z</dcterms:modified>
</cp:coreProperties>
</file>