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rythmes and blues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Respecter les rythmes physiologiques veille sommeil repas. Respecter les capacités d’acquisition de l’enfant en créant les conditions propices à la mise en oeuvre des mécanismes de l’acquisition spontanée. Respecter le contrat école famille.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Examiner les conditions et le cadre de vie habituel des enfants. Prendre en compte le temps effectivement passé dans le cadre scolaire, péri scolaire, post scolaire: activités, accueil, loisirs. Réflechir à sa pertinence et son lien avec un problème de santé scolaire.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“L’absence est le plus grand de tous les maux”La Fontaine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