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80" w:type="dxa"/>
        <w:tblInd w:w="-1189" w:type="dxa"/>
        <w:tblLook w:val="04A0" w:firstRow="1" w:lastRow="0" w:firstColumn="1" w:lastColumn="0" w:noHBand="0" w:noVBand="1"/>
      </w:tblPr>
      <w:tblGrid>
        <w:gridCol w:w="20"/>
        <w:gridCol w:w="10"/>
        <w:gridCol w:w="10"/>
        <w:gridCol w:w="3741"/>
        <w:gridCol w:w="19"/>
        <w:gridCol w:w="10"/>
        <w:gridCol w:w="10"/>
        <w:gridCol w:w="3743"/>
        <w:gridCol w:w="17"/>
        <w:gridCol w:w="10"/>
        <w:gridCol w:w="10"/>
        <w:gridCol w:w="3745"/>
        <w:gridCol w:w="15"/>
        <w:gridCol w:w="10"/>
        <w:gridCol w:w="10"/>
      </w:tblGrid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5 - 3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4 - 0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5 - 1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2 - 2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2 - 1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5 - 3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5 - 0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3 - 3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</w:tc>
        <w:tc>
          <w:tcPr>
            <w:tcW w:w="3782" w:type="dxa"/>
            <w:gridSpan w:val="4"/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3 - 1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bottom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2" w:type="dxa"/>
            <w:gridSpan w:val="4"/>
            <w:tcBorders>
              <w:bottom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</w:tc>
        <w:tc>
          <w:tcPr>
            <w:tcW w:w="3782" w:type="dxa"/>
            <w:gridSpan w:val="4"/>
            <w:tcBorders>
              <w:bottom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5 - 5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lastRenderedPageBreak/>
              <w:t>2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5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4 - 2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4D0703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2 - 2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3 - 3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4 - 2</w:t>
            </w:r>
          </w:p>
        </w:tc>
        <w:tc>
          <w:tcPr>
            <w:tcW w:w="3782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Before w:val="1"/>
          <w:gridAfter w:val="2"/>
          <w:wBefore w:w="20" w:type="dxa"/>
          <w:wAfter w:w="20" w:type="dxa"/>
          <w:trHeight w:hRule="exact" w:val="2552"/>
        </w:trPr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2 - 0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Before w:val="2"/>
          <w:gridAfter w:val="1"/>
          <w:wBefore w:w="30" w:type="dxa"/>
          <w:wAfter w:w="10" w:type="dxa"/>
          <w:trHeight w:hRule="exact" w:val="2552"/>
        </w:trPr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5 - 1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2 - 1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3 - 0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Before w:val="3"/>
          <w:wBefore w:w="40" w:type="dxa"/>
          <w:trHeight w:hRule="exact" w:val="2552"/>
        </w:trPr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FFCCFF"/>
          </w:tcPr>
          <w:p w:rsidR="004D0703" w:rsidRPr="00746DAF" w:rsidRDefault="004D0703" w:rsidP="00B310DD">
            <w:pPr>
              <w:shd w:val="clear" w:color="auto" w:fill="FF66CC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5 - 5</w:t>
            </w:r>
          </w:p>
          <w:p w:rsidR="004D0703" w:rsidRPr="00C9582C" w:rsidRDefault="004D0703" w:rsidP="00B310DD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</w:tr>
      <w:tr w:rsidR="004D0703" w:rsidTr="004D0703">
        <w:trPr>
          <w:gridAfter w:val="3"/>
          <w:wAfter w:w="35" w:type="dxa"/>
          <w:trHeight w:hRule="exact" w:val="2552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B310DD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</w:tbl>
    <w:p w:rsidR="004D0703" w:rsidRDefault="004D0703" w:rsidP="004D0703"/>
    <w:p w:rsidR="004D0703" w:rsidRDefault="004D0703" w:rsidP="004D0703"/>
    <w:tbl>
      <w:tblPr>
        <w:tblStyle w:val="Grilledutableau"/>
        <w:tblW w:w="11340" w:type="dxa"/>
        <w:tblInd w:w="-1144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5 - 3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4 - 0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2 - 1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5 - 3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5 - 0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3 - 3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3 - 1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5 - 5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tcBorders>
              <w:top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4 - 2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2 - 2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3 - 3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4 - 3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2 - 0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3 - 2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2 - 1</w:t>
            </w:r>
          </w:p>
        </w:tc>
        <w:tc>
          <w:tcPr>
            <w:tcW w:w="3780" w:type="dxa"/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3 - 0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C9582C" w:rsidTr="004D0703">
        <w:trPr>
          <w:trHeight w:hRule="exact" w:val="2552"/>
        </w:trPr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Antipasto" w:hAnsi="Antipasto"/>
              </w:rPr>
            </w:pPr>
            <w:r>
              <w:rPr>
                <w:rFonts w:ascii="Antipasto" w:hAnsi="Antipasto"/>
                <w:sz w:val="144"/>
              </w:rPr>
              <w:t>5 - 2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5 - 4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CCCCFF"/>
          </w:tcPr>
          <w:p w:rsidR="004D0703" w:rsidRPr="00746DAF" w:rsidRDefault="004D0703" w:rsidP="004D0703">
            <w:pPr>
              <w:shd w:val="clear" w:color="auto" w:fill="0070C0"/>
              <w:jc w:val="center"/>
              <w:rPr>
                <w:rFonts w:ascii="ScrapItUp" w:hAnsi="ScrapItUp"/>
                <w:sz w:val="56"/>
              </w:rPr>
            </w:pPr>
            <w:r w:rsidRPr="00746DAF">
              <w:rPr>
                <w:rFonts w:ascii="ScrapItUp" w:hAnsi="ScrapItUp"/>
                <w:sz w:val="56"/>
              </w:rPr>
              <w:t xml:space="preserve">Tic-Tac </w:t>
            </w:r>
            <w:r>
              <w:rPr>
                <w:rFonts w:ascii="ScrapItUp" w:hAnsi="ScrapItUp"/>
                <w:sz w:val="56"/>
              </w:rPr>
              <w:t>Moins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  <w:r>
              <w:rPr>
                <w:rFonts w:ascii="Antipasto" w:hAnsi="Antipasto"/>
                <w:sz w:val="144"/>
              </w:rPr>
              <w:t>5 - 5</w:t>
            </w:r>
          </w:p>
          <w:p w:rsidR="004D0703" w:rsidRPr="00C9582C" w:rsidRDefault="004D0703" w:rsidP="004D0703">
            <w:pPr>
              <w:jc w:val="center"/>
              <w:rPr>
                <w:rFonts w:ascii="ScrapItUp" w:hAnsi="ScrapItUp"/>
                <w:sz w:val="56"/>
              </w:rPr>
            </w:pP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2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4</w:t>
            </w:r>
          </w:p>
        </w:tc>
      </w:tr>
      <w:tr w:rsidR="004D0703" w:rsidRPr="00746DAF" w:rsidTr="004D0703">
        <w:trPr>
          <w:trHeight w:hRule="exact" w:val="255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D0703" w:rsidRPr="00746DAF" w:rsidRDefault="004D0703" w:rsidP="004D0703">
            <w:pPr>
              <w:jc w:val="center"/>
              <w:rPr>
                <w:rFonts w:ascii="Script cole" w:hAnsi="Script cole"/>
                <w:sz w:val="144"/>
              </w:rPr>
            </w:pPr>
            <w:r>
              <w:rPr>
                <w:rFonts w:ascii="Script cole" w:hAnsi="Script cole"/>
                <w:sz w:val="144"/>
              </w:rPr>
              <w:t>3</w:t>
            </w:r>
          </w:p>
        </w:tc>
      </w:tr>
    </w:tbl>
    <w:p w:rsidR="004D0703" w:rsidRDefault="004D0703" w:rsidP="004D0703"/>
    <w:p w:rsidR="004D0703" w:rsidRDefault="004D0703" w:rsidP="004D0703"/>
    <w:p w:rsidR="004D0703" w:rsidRPr="00BF1013" w:rsidRDefault="004D0703" w:rsidP="004D0703">
      <w:pPr>
        <w:ind w:left="709"/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8"/>
        </w:rPr>
        <w:t xml:space="preserve">Tic-Tac </w:t>
      </w:r>
      <w:r>
        <w:rPr>
          <w:rFonts w:ascii="KG Always A Good Time" w:hAnsi="KG Always A Good Time"/>
          <w:sz w:val="48"/>
        </w:rPr>
        <w:t>Moins</w:t>
      </w:r>
    </w:p>
    <w:p w:rsidR="004D0703" w:rsidRPr="004E1370" w:rsidRDefault="004D0703" w:rsidP="004D0703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4D0703" w:rsidRPr="004D0703" w:rsidRDefault="004D0703" w:rsidP="004D0703">
      <w:pPr>
        <w:pStyle w:val="Paragraphedeliste"/>
        <w:numPr>
          <w:ilvl w:val="0"/>
          <w:numId w:val="2"/>
        </w:numPr>
        <w:ind w:left="-567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D0703">
        <w:rPr>
          <w:rFonts w:ascii="Lexie Readable" w:eastAsia="Times New Roman" w:hAnsi="Lexie Readable" w:cs="Arial"/>
          <w:sz w:val="24"/>
          <w:szCs w:val="24"/>
          <w:lang w:eastAsia="fr-FR"/>
        </w:rPr>
        <w:t>Aborder la soustraction à partir d’une situation de recherche du résultat d’un retrait</w:t>
      </w:r>
    </w:p>
    <w:p w:rsidR="004D0703" w:rsidRPr="004E1370" w:rsidRDefault="004D0703" w:rsidP="004D0703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4D0703" w:rsidRPr="00426708" w:rsidRDefault="004D0703" w:rsidP="004D0703">
      <w:pPr>
        <w:ind w:left="-851" w:right="-993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26708">
        <w:rPr>
          <w:rFonts w:ascii="Lexie Readable" w:eastAsia="Times New Roman" w:hAnsi="Lexie Readable" w:cs="Arial"/>
          <w:sz w:val="24"/>
          <w:szCs w:val="24"/>
          <w:lang w:eastAsia="fr-FR"/>
        </w:rPr>
        <w:t>Un élève tire une carte. Le chef de jeu déclenche le sablier (30 secondes). L’élève cherche alors la réponse à l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a soustraction</w:t>
      </w:r>
      <w:r w:rsidRPr="00426708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en procédant comme il le souhait : sur les doigts, avec des jetons, ou en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reculant</w:t>
      </w:r>
      <w:r w:rsidRPr="00426708">
        <w:rPr>
          <w:rFonts w:ascii="Lexie Readable" w:eastAsia="Times New Roman" w:hAnsi="Lexie Readable" w:cs="Arial"/>
          <w:sz w:val="24"/>
          <w:szCs w:val="24"/>
          <w:lang w:eastAsia="fr-FR"/>
        </w:rPr>
        <w:t>. Le chef de jeu vérifie la réponse au dos de la carte</w:t>
      </w:r>
    </w:p>
    <w:p w:rsidR="004D0703" w:rsidRPr="00426708" w:rsidRDefault="004D0703" w:rsidP="004D0703">
      <w:pPr>
        <w:ind w:left="-851" w:right="-993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26708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La carte est gagnée s’il a répondu avant la fin du temps du sablier. </w:t>
      </w:r>
    </w:p>
    <w:p w:rsidR="004D0703" w:rsidRPr="00426708" w:rsidRDefault="004D0703" w:rsidP="004D0703">
      <w:pPr>
        <w:ind w:left="-851" w:right="-993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26708">
        <w:rPr>
          <w:rFonts w:ascii="Lexie Readable" w:eastAsia="Times New Roman" w:hAnsi="Lexie Readable" w:cs="Arial"/>
          <w:sz w:val="24"/>
          <w:szCs w:val="24"/>
          <w:lang w:eastAsia="fr-FR"/>
        </w:rPr>
        <w:t>NB : Donner 2 sabliers pour ne pas avoir à attendre que le sablier revienne à son niveau initial.</w:t>
      </w:r>
    </w:p>
    <w:p w:rsidR="004D0703" w:rsidRDefault="004D0703" w:rsidP="004D0703">
      <w:pPr>
        <w:ind w:left="709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4D0703" w:rsidRPr="004E1370" w:rsidRDefault="004D0703" w:rsidP="004D0703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4D0703" w:rsidRDefault="004D0703" w:rsidP="004D0703">
      <w:pPr>
        <w:ind w:left="-851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en recto-verso. Une couleur de jeu pour un groupe de 3 à 4 élèves.</w:t>
      </w:r>
    </w:p>
    <w:p w:rsidR="004D0703" w:rsidRDefault="004D0703" w:rsidP="004D0703">
      <w:pPr>
        <w:ind w:left="709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4D0703" w:rsidRPr="00D65D46" w:rsidRDefault="004D0703" w:rsidP="004D0703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4D0703" w:rsidRPr="004E1370" w:rsidRDefault="004D0703" w:rsidP="004D0703">
      <w:pPr>
        <w:ind w:left="-851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 partir de la séquence 18</w:t>
      </w:r>
      <w:bookmarkStart w:id="0" w:name="_GoBack"/>
      <w:bookmarkEnd w:id="0"/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de </w:t>
      </w:r>
      <w:proofErr w:type="spellStart"/>
      <w:r>
        <w:rPr>
          <w:rFonts w:ascii="Lexie Readable" w:eastAsia="Times New Roman" w:hAnsi="Lexie Readable" w:cs="Arial"/>
          <w:sz w:val="24"/>
          <w:szCs w:val="24"/>
          <w:lang w:eastAsia="fr-FR"/>
        </w:rPr>
        <w:t>Picbille</w:t>
      </w:r>
      <w:proofErr w:type="spellEnd"/>
      <w:r>
        <w:rPr>
          <w:rFonts w:ascii="Lexie Readable" w:eastAsia="Times New Roman" w:hAnsi="Lexie Readable" w:cs="Arial"/>
          <w:sz w:val="24"/>
          <w:szCs w:val="24"/>
          <w:lang w:eastAsia="fr-FR"/>
        </w:rPr>
        <w:t>. On peut jouer jusqu’à la fin de la période 1 puis le laisser à disposition des élèves.</w:t>
      </w:r>
    </w:p>
    <w:p w:rsidR="0051480F" w:rsidRDefault="0051480F"/>
    <w:sectPr w:rsidR="0051480F" w:rsidSect="00746DA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apItUp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ntipasto">
    <w:panose1 w:val="02000506000000020004"/>
    <w:charset w:val="00"/>
    <w:family w:val="auto"/>
    <w:pitch w:val="variable"/>
    <w:sig w:usb0="A00000AF" w:usb1="4000004A" w:usb2="00000000" w:usb3="00000000" w:csb0="0000009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58D5"/>
    <w:multiLevelType w:val="hybridMultilevel"/>
    <w:tmpl w:val="127807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61DE"/>
    <w:multiLevelType w:val="hybridMultilevel"/>
    <w:tmpl w:val="A7202500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03"/>
    <w:rsid w:val="004D0703"/>
    <w:rsid w:val="005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F9601-F205-4375-8837-E7C0C6B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2016-07-06T13:30:00Z</dcterms:created>
  <dcterms:modified xsi:type="dcterms:W3CDTF">2016-07-06T13:40:00Z</dcterms:modified>
</cp:coreProperties>
</file>