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tl w:val="0"/>
        </w:rPr>
        <w:t xml:space="preserve">coucou le doudou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Promouvoir le doudou interactif. Rompre avec l’usage de la tétine obstacle en communication.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La tétine contribue au repli de l’enfant sur lui-même, empêche la communication et interdit finalement l'accès au langage. La tétine comme le pouce et la cigarette ramène au plaisir buccal et enferme dans une jouissance narcissique orale. L’école des sens se passe de tétine mais a besoin du doudou en tiers communiquant.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“Tout s’en va comme la fumée” Alfred de Musset</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