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D82" w:rsidRDefault="004468B4" w:rsidP="000C2D82">
      <w:pPr>
        <w:spacing w:after="0" w:line="240" w:lineRule="auto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  <w:r w:rsidRPr="003A4329">
        <w:rPr>
          <w:rFonts w:ascii="Cursive standard" w:eastAsia="Times New Roman" w:hAnsi="Cursive standard" w:cs="Times New Roman"/>
          <w:b/>
          <w:noProof/>
          <w:sz w:val="3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DB18F" wp14:editId="2481A4AD">
                <wp:simplePos x="0" y="0"/>
                <wp:positionH relativeFrom="column">
                  <wp:posOffset>514350</wp:posOffset>
                </wp:positionH>
                <wp:positionV relativeFrom="paragraph">
                  <wp:posOffset>1270</wp:posOffset>
                </wp:positionV>
                <wp:extent cx="2066925" cy="1403985"/>
                <wp:effectExtent l="0" t="0" r="2857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2D82" w:rsidRDefault="000C2D82" w:rsidP="000C2D82">
                            <w:r>
                              <w:t>NOM :</w:t>
                            </w:r>
                          </w:p>
                          <w:p w:rsidR="000C2D82" w:rsidRDefault="000C2D82" w:rsidP="000C2D82">
                            <w:r>
                              <w:t>Prénom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5pt;margin-top:.1pt;width:16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" fillcolor="window" strokecolor="windowText" strokeweight="2pt">
                <v:textbox style="mso-fit-shape-to-text:t">
                  <w:txbxContent>
                    <w:p w:rsidR="000C2D82" w:rsidRDefault="000C2D82" w:rsidP="000C2D82">
                      <w:r>
                        <w:t>NOM :</w:t>
                      </w:r>
                    </w:p>
                    <w:p w:rsidR="000C2D82" w:rsidRDefault="000C2D82" w:rsidP="000C2D82">
                      <w:r>
                        <w:t>Prénom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eastAsia="Times New Roman" w:hAnsi="Cursive standard" w:cs="Times New Roman"/>
          <w:b/>
          <w:noProof/>
          <w:sz w:val="3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09A90" wp14:editId="08766AF2">
                <wp:simplePos x="0" y="0"/>
                <wp:positionH relativeFrom="column">
                  <wp:posOffset>3086100</wp:posOffset>
                </wp:positionH>
                <wp:positionV relativeFrom="paragraph">
                  <wp:posOffset>33655</wp:posOffset>
                </wp:positionV>
                <wp:extent cx="6124575" cy="70485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2D82" w:rsidRDefault="000C2D82" w:rsidP="000C2D82">
                            <w:pPr>
                              <w:spacing w:line="240" w:lineRule="auto"/>
                              <w:jc w:val="center"/>
                              <w:rPr>
                                <w:rFonts w:ascii="Suplexmentary Comic NC" w:hAnsi="Suplexmentary Comic N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uplexmentary Comic NC" w:hAnsi="Suplexmentary Comic NC"/>
                                <w:sz w:val="40"/>
                                <w:szCs w:val="40"/>
                              </w:rPr>
                              <w:t>Relevé CLIS Trimestre n°1</w:t>
                            </w:r>
                          </w:p>
                          <w:p w:rsidR="000C2D82" w:rsidRPr="00591FAE" w:rsidRDefault="000C2D82" w:rsidP="000C2D82">
                            <w:pPr>
                              <w:spacing w:line="240" w:lineRule="auto"/>
                              <w:jc w:val="center"/>
                            </w:pPr>
                            <w:r>
                              <w:t>2012-2013</w:t>
                            </w:r>
                          </w:p>
                          <w:p w:rsidR="000C2D82" w:rsidRPr="00591FAE" w:rsidRDefault="000C2D82" w:rsidP="000C2D82">
                            <w:pPr>
                              <w:jc w:val="center"/>
                            </w:pPr>
                          </w:p>
                          <w:p w:rsidR="000C2D82" w:rsidRPr="00591FAE" w:rsidRDefault="000C2D82" w:rsidP="000C2D82">
                            <w:pPr>
                              <w:jc w:val="center"/>
                              <w:rPr>
                                <w:rFonts w:ascii="Suplexmentary Comic NC" w:hAnsi="Suplexmentary Comic NC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243pt;margin-top:2.65pt;width:482.25pt;height:5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" fillcolor="window" stroked="f" strokeweight=".5pt">
                <v:textbox>
                  <w:txbxContent>
                    <w:p w:rsidR="000C2D82" w:rsidRDefault="000C2D82" w:rsidP="000C2D82">
                      <w:pPr>
                        <w:spacing w:line="240" w:lineRule="auto"/>
                        <w:jc w:val="center"/>
                        <w:rPr>
                          <w:rFonts w:ascii="Suplexmentary Comic NC" w:hAnsi="Suplexmentary Comic NC"/>
                          <w:sz w:val="40"/>
                          <w:szCs w:val="40"/>
                        </w:rPr>
                      </w:pPr>
                      <w:r>
                        <w:rPr>
                          <w:rFonts w:ascii="Suplexmentary Comic NC" w:hAnsi="Suplexmentary Comic NC"/>
                          <w:sz w:val="40"/>
                          <w:szCs w:val="40"/>
                        </w:rPr>
                        <w:t>Relevé CLIS Trimestre n°1</w:t>
                      </w:r>
                    </w:p>
                    <w:p w:rsidR="000C2D82" w:rsidRPr="00591FAE" w:rsidRDefault="000C2D82" w:rsidP="000C2D82">
                      <w:pPr>
                        <w:spacing w:line="240" w:lineRule="auto"/>
                        <w:jc w:val="center"/>
                      </w:pPr>
                      <w:r>
                        <w:t>2012-2013</w:t>
                      </w:r>
                    </w:p>
                    <w:p w:rsidR="000C2D82" w:rsidRPr="00591FAE" w:rsidRDefault="000C2D82" w:rsidP="000C2D82">
                      <w:pPr>
                        <w:jc w:val="center"/>
                      </w:pPr>
                    </w:p>
                    <w:p w:rsidR="000C2D82" w:rsidRPr="00591FAE" w:rsidRDefault="000C2D82" w:rsidP="000C2D82">
                      <w:pPr>
                        <w:jc w:val="center"/>
                        <w:rPr>
                          <w:rFonts w:ascii="Suplexmentary Comic NC" w:hAnsi="Suplexmentary Comic NC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ursive standard" w:eastAsia="Times New Roman" w:hAnsi="Cursive standard" w:cs="Times New Roman"/>
          <w:b/>
          <w:noProof/>
          <w:sz w:val="32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17738" wp14:editId="677766C0">
                <wp:simplePos x="0" y="0"/>
                <wp:positionH relativeFrom="column">
                  <wp:posOffset>2971800</wp:posOffset>
                </wp:positionH>
                <wp:positionV relativeFrom="paragraph">
                  <wp:posOffset>-13970</wp:posOffset>
                </wp:positionV>
                <wp:extent cx="6400800" cy="771525"/>
                <wp:effectExtent l="0" t="0" r="19050" b="28575"/>
                <wp:wrapNone/>
                <wp:docPr id="3" name="Arrondir un rectangle avec un coin diagon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7152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3" o:spid="_x0000_s1026" style="position:absolute;margin-left:234pt;margin-top:-1.1pt;width:7in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00800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" path="m128590,l6400800,r,l6400800,642935v,71018,-57572,128590,-128590,128590l,771525r,l,128590c,57572,57572,,128590,xe" fillcolor="window" strokecolor="windowText" strokeweight="2pt">
                <v:path arrowok="t" o:connecttype="custom" o:connectlocs="128590,0;6400800,0;6400800,0;6400800,642935;6272210,771525;0,771525;0,771525;0,128590;128590,0" o:connectangles="0,0,0,0,0,0,0,0,0"/>
              </v:shape>
            </w:pict>
          </mc:Fallback>
        </mc:AlternateContent>
      </w:r>
    </w:p>
    <w:p w:rsidR="000C2D82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  <w:r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  <w:t>Français</w:t>
      </w: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6"/>
          <w:szCs w:val="24"/>
          <w:u w:val="single"/>
          <w:lang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8"/>
        <w:gridCol w:w="3885"/>
        <w:gridCol w:w="8301"/>
        <w:gridCol w:w="852"/>
      </w:tblGrid>
      <w:tr w:rsidR="000C2D82" w:rsidRPr="006404CA" w:rsidTr="003820AE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Langage oral</w:t>
            </w:r>
          </w:p>
        </w:tc>
        <w:tc>
          <w:tcPr>
            <w:tcW w:w="12186" w:type="dxa"/>
            <w:gridSpan w:val="2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S’exprimer clairement à l’oral en utilisant un vocabulaire approprié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 : prononcer correctement les sons, respecter l’organisation de la phrase, formuler correctement des questions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Participer à un échange verbal en respectant les règles de la communication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Répondre à une question par une réponse complète à l’oral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Dire de mémoire les poésies apprises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375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Lecture et compréhension</w:t>
            </w:r>
          </w:p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 w:val="restart"/>
            <w:tcBorders>
              <w:top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fr-FR"/>
              </w:rPr>
              <w:t>Lectures étudiées :</w:t>
            </w: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« 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Le chevalier de l’alphabet</w:t>
            </w:r>
            <w:proofErr w:type="gramStart"/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» 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,</w:t>
            </w: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«</w:t>
            </w:r>
            <w:proofErr w:type="gramEnd"/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 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la vie d’une sorcière</w:t>
            </w: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»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, « </w:t>
            </w:r>
            <w:proofErr w:type="spellStart"/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hansel</w:t>
            </w:r>
            <w:proofErr w:type="spellEnd"/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et </w:t>
            </w:r>
            <w:proofErr w:type="spellStart"/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Gretel</w:t>
            </w:r>
            <w:proofErr w:type="spellEnd"/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 »</w:t>
            </w:r>
          </w:p>
        </w:tc>
        <w:tc>
          <w:tcPr>
            <w:tcW w:w="8301" w:type="dxa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0C2D8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Lire aisément les mots 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référents de l’histoire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Lire aisément les mots-outils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(petits mots fréquents)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Ecouter et comprendre un texte lu par l’enseignant en répondant à des questions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Connaître quelques textes du patrimoine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0C2D82">
        <w:trPr>
          <w:trHeight w:val="284"/>
        </w:trPr>
        <w:tc>
          <w:tcPr>
            <w:tcW w:w="20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Dégager le thème d’un texte (le sujet, les personnages, la chronologie)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</w:tcPr>
          <w:p w:rsidR="000C2D82" w:rsidRDefault="000C2D82" w:rsidP="003820A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</w:pPr>
          </w:p>
          <w:p w:rsidR="000C2D82" w:rsidRDefault="000C2D82" w:rsidP="003820A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</w:pPr>
          </w:p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Découvrir l’écrit</w:t>
            </w:r>
          </w:p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 w:val="restart"/>
            <w:tcBorders>
              <w:top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0C2D8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fr-FR"/>
              </w:rPr>
              <w:t>Sons révisés :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« A »</w:t>
            </w: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</w:t>
            </w:r>
          </w:p>
        </w:tc>
        <w:tc>
          <w:tcPr>
            <w:tcW w:w="8301" w:type="dxa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Identifier, nommer et écrire la lettre A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Discrimination auditive : entendre et identifier le son A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Faire correspondre les mots d’un énoncé à l’oral et à l’écrit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Ecriture et production d’écrits</w:t>
            </w:r>
          </w:p>
        </w:tc>
        <w:tc>
          <w:tcPr>
            <w:tcW w:w="12186" w:type="dxa"/>
            <w:gridSpan w:val="2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0C2D8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Copier 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une phrase courte en majuscule script sur une ligne, sans erreur et avec soin (modèle au tableau)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Produire un énoncé oral pour qu’il puisse être écrit par l’adulte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C5095B">
        <w:trPr>
          <w:trHeight w:val="284"/>
        </w:trPr>
        <w:tc>
          <w:tcPr>
            <w:tcW w:w="20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C5095B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Ecrire son prénom en script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</w:tbl>
    <w:p w:rsidR="000C2D82" w:rsidRPr="005D79DD" w:rsidRDefault="000C2D82" w:rsidP="000C2D82">
      <w:pPr>
        <w:spacing w:after="0" w:line="240" w:lineRule="auto"/>
        <w:rPr>
          <w:rFonts w:ascii="Cursive standard" w:eastAsia="Times New Roman" w:hAnsi="Cursive standard" w:cs="Times New Roman"/>
          <w:b/>
          <w:sz w:val="10"/>
          <w:szCs w:val="10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  <w:r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  <w:lastRenderedPageBreak/>
        <w:t>M</w:t>
      </w:r>
      <w:r w:rsidRPr="006404CA"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  <w:t>athématiques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8"/>
        <w:gridCol w:w="3885"/>
        <w:gridCol w:w="8301"/>
        <w:gridCol w:w="852"/>
      </w:tblGrid>
      <w:tr w:rsidR="00C5095B" w:rsidRPr="006404CA" w:rsidTr="00BD2662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</w:tcPr>
          <w:p w:rsidR="00C5095B" w:rsidRDefault="00C5095B" w:rsidP="00BD2662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</w:pPr>
          </w:p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Numération</w:t>
            </w:r>
          </w:p>
        </w:tc>
        <w:tc>
          <w:tcPr>
            <w:tcW w:w="3885" w:type="dxa"/>
            <w:vMerge w:val="restart"/>
            <w:tcBorders>
              <w:top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fr-FR"/>
              </w:rPr>
              <w:t xml:space="preserve">Les nombres jusqu’à </w:t>
            </w:r>
            <w:r>
              <w:rPr>
                <w:rFonts w:ascii="Comic Sans MS" w:eastAsia="Times New Roman" w:hAnsi="Comic Sans MS" w:cs="Times New Roman"/>
                <w:sz w:val="19"/>
                <w:szCs w:val="19"/>
                <w:u w:val="single"/>
                <w:lang w:eastAsia="fr-FR"/>
              </w:rPr>
              <w:t>10</w:t>
            </w:r>
          </w:p>
        </w:tc>
        <w:tc>
          <w:tcPr>
            <w:tcW w:w="8301" w:type="dxa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Les lire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Les écrire en chiffres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Les écrire en lettres (utilisation des mots-nombres)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Dénombrer des quantités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284"/>
        </w:trPr>
        <w:tc>
          <w:tcPr>
            <w:tcW w:w="2058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Comparer des quantités (notion de plus que, moins que, autant que)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46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Opérations et calculs</w:t>
            </w:r>
          </w:p>
        </w:tc>
        <w:tc>
          <w:tcPr>
            <w:tcW w:w="3885" w:type="dxa"/>
            <w:vMerge w:val="restart"/>
            <w:tcBorders>
              <w:top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L’addition</w:t>
            </w:r>
          </w:p>
        </w:tc>
        <w:tc>
          <w:tcPr>
            <w:tcW w:w="8301" w:type="dxa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Comprendre le sens de l’addition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C5095B" w:rsidRPr="006404CA" w:rsidTr="00BD2662">
        <w:trPr>
          <w:trHeight w:val="284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Résoudre des additions en dessinant les quantités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095B" w:rsidRPr="006404CA" w:rsidRDefault="00C5095B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BD2662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</w:tcPr>
          <w:p w:rsidR="000C2D82" w:rsidRPr="00B165B4" w:rsidRDefault="000C2D82" w:rsidP="00BD266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  <w:r w:rsidRPr="00B165B4"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  <w:t>Problèmes</w:t>
            </w:r>
          </w:p>
        </w:tc>
        <w:tc>
          <w:tcPr>
            <w:tcW w:w="3885" w:type="dxa"/>
            <w:vMerge w:val="restart"/>
            <w:tcBorders>
              <w:top w:val="double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82" w:rsidRPr="006404CA" w:rsidRDefault="000C2D8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Résoudre des problèmes </w:t>
            </w:r>
            <w:r w:rsidR="00C5095B"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portant sur les quantités</w:t>
            </w:r>
          </w:p>
        </w:tc>
        <w:tc>
          <w:tcPr>
            <w:tcW w:w="8301" w:type="dxa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 xml:space="preserve"> « moins que »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BD2662">
        <w:trPr>
          <w:trHeight w:val="284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B165B4" w:rsidRDefault="000C2D82" w:rsidP="00BD266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D82" w:rsidRDefault="000C2D8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« Plus que 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BD2662">
        <w:trPr>
          <w:trHeight w:val="284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B165B4" w:rsidRDefault="000C2D82" w:rsidP="00BD2662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</w:p>
        </w:tc>
        <w:tc>
          <w:tcPr>
            <w:tcW w:w="3885" w:type="dxa"/>
            <w:vMerge/>
            <w:tcBorders>
              <w:bottom w:val="doubleWav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82" w:rsidRDefault="000C2D8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</w:p>
        </w:tc>
        <w:tc>
          <w:tcPr>
            <w:tcW w:w="8301" w:type="dxa"/>
            <w:tcBorders>
              <w:top w:val="single" w:sz="4" w:space="0" w:color="auto"/>
              <w:left w:val="single" w:sz="4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  <w:t>« Autant que 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284"/>
        </w:trPr>
        <w:tc>
          <w:tcPr>
            <w:tcW w:w="2058" w:type="dxa"/>
            <w:vMerge w:val="restart"/>
            <w:tcBorders>
              <w:top w:val="doubleWave" w:sz="6" w:space="0" w:color="auto"/>
              <w:bottom w:val="doubleWave" w:sz="6" w:space="0" w:color="auto"/>
              <w:right w:val="single" w:sz="8" w:space="0" w:color="auto"/>
            </w:tcBorders>
            <w:vAlign w:val="center"/>
          </w:tcPr>
          <w:p w:rsidR="00BD2662" w:rsidRPr="006404CA" w:rsidRDefault="00BD266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  <w:r>
              <w:rPr>
                <w:rFonts w:ascii="Segoe Print" w:eastAsia="Times New Roman" w:hAnsi="Segoe Print" w:cs="Times New Roman"/>
                <w:b/>
                <w:szCs w:val="26"/>
                <w:lang w:eastAsia="fr-FR"/>
              </w:rPr>
              <w:t>Géométrie</w:t>
            </w:r>
          </w:p>
        </w:tc>
        <w:tc>
          <w:tcPr>
            <w:tcW w:w="12186" w:type="dxa"/>
            <w:gridSpan w:val="2"/>
            <w:tcBorders>
              <w:top w:val="doub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Utiliser la règle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pour tracer avec soin et précision</w:t>
            </w:r>
          </w:p>
        </w:tc>
        <w:tc>
          <w:tcPr>
            <w:tcW w:w="852" w:type="dxa"/>
            <w:vMerge w:val="restart"/>
            <w:tcBorders>
              <w:top w:val="doubleWav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190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BD2662" w:rsidRPr="006404CA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nil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5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530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</w:tcPr>
          <w:p w:rsidR="00BD2662" w:rsidRPr="00F7736E" w:rsidRDefault="00BD2662" w:rsidP="00BD2662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  <w:r w:rsidRPr="00F7736E"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  <w:t>Organisation et gestion de données</w:t>
            </w:r>
          </w:p>
        </w:tc>
        <w:tc>
          <w:tcPr>
            <w:tcW w:w="12186" w:type="dxa"/>
            <w:gridSpan w:val="2"/>
            <w:tcBorders>
              <w:top w:val="doubleWav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 repérer dans l’espace d’une page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436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BD2662" w:rsidRPr="00F7736E" w:rsidRDefault="00BD2662" w:rsidP="00BD2662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</w:p>
        </w:tc>
        <w:tc>
          <w:tcPr>
            <w:tcW w:w="12186" w:type="dxa"/>
            <w:gridSpan w:val="2"/>
            <w:tcBorders>
              <w:top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Default="00BD2662" w:rsidP="00BD2662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Lire et remplir un tableau à double entrée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BD266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</w:tbl>
    <w:p w:rsidR="000C2D82" w:rsidRPr="006404CA" w:rsidRDefault="000C2D82" w:rsidP="000C2D82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4"/>
          <w:u w:val="single"/>
          <w:lang w:eastAsia="fr-FR"/>
        </w:rPr>
      </w:pPr>
      <w:r>
        <w:rPr>
          <w:rFonts w:ascii="Comic Sans MS" w:eastAsia="Times New Roman" w:hAnsi="Comic Sans MS" w:cs="Times New Roman"/>
          <w:b/>
          <w:sz w:val="20"/>
          <w:szCs w:val="24"/>
          <w:u w:val="single"/>
          <w:lang w:eastAsia="fr-FR"/>
        </w:rPr>
        <w:br w:type="textWrapping" w:clear="all"/>
      </w:r>
    </w:p>
    <w:p w:rsidR="000C2D82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BD2662" w:rsidRDefault="00BD266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  <w:r w:rsidRPr="006404CA"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  <w:lastRenderedPageBreak/>
        <w:t>Les autres compétences du socle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58"/>
        <w:gridCol w:w="6093"/>
        <w:gridCol w:w="267"/>
        <w:gridCol w:w="5826"/>
        <w:gridCol w:w="852"/>
      </w:tblGrid>
      <w:tr w:rsidR="000C2D82" w:rsidRPr="006404CA" w:rsidTr="003820AE">
        <w:trPr>
          <w:trHeight w:val="227"/>
        </w:trPr>
        <w:tc>
          <w:tcPr>
            <w:tcW w:w="2058" w:type="dxa"/>
            <w:vMerge w:val="restart"/>
            <w:tcBorders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  <w:t>La culture scientifique et technologique</w:t>
            </w:r>
          </w:p>
        </w:tc>
        <w:tc>
          <w:tcPr>
            <w:tcW w:w="12186" w:type="dxa"/>
            <w:gridSpan w:val="3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19"/>
                <w:szCs w:val="19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Caractériser les saisons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Identifier quelques phénomènes météorologiques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C2D82" w:rsidRPr="006404CA" w:rsidTr="003820AE">
        <w:trPr>
          <w:trHeight w:val="402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Projet jardin : Identifier les différentes plantes (aromatiques, fruitières, d’ornement), distinguer graine et bulbe</w:t>
            </w: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Un élevage en classe : le rongeur (alimentation, reproduction…)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BD266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1"/>
                <w:szCs w:val="21"/>
                <w:lang w:eastAsia="fr-FR"/>
              </w:rPr>
            </w:pPr>
            <w:r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  <w:t>Informatique</w:t>
            </w:r>
          </w:p>
        </w:tc>
        <w:tc>
          <w:tcPr>
            <w:tcW w:w="12186" w:type="dxa"/>
            <w:gridSpan w:val="3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Connaître et maîtriser les fonctions de base d’un ordinateur et de ses périphériques</w:t>
            </w:r>
          </w:p>
        </w:tc>
        <w:tc>
          <w:tcPr>
            <w:tcW w:w="852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392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BD2662" w:rsidRPr="006404CA" w:rsidRDefault="00BD266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Produire un document numérique : texte, image, son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BD2662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Utiliser l’outil informatique pour présenter un travail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BD2662" w:rsidRPr="006404CA" w:rsidTr="00BD2662">
        <w:trPr>
          <w:trHeight w:val="405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BD2662" w:rsidRPr="006404CA" w:rsidRDefault="00BD266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Lire un document numérique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5032C7">
        <w:trPr>
          <w:trHeight w:val="227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  <w:t>La culture humaniste</w:t>
            </w:r>
          </w:p>
        </w:tc>
        <w:tc>
          <w:tcPr>
            <w:tcW w:w="12186" w:type="dxa"/>
            <w:gridSpan w:val="3"/>
            <w:tcBorders>
              <w:top w:val="doubleWave" w:sz="6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5032C7" w:rsidP="00BD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 repérer dans la journée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5032C7" w:rsidRPr="006404CA" w:rsidTr="005032C7">
        <w:trPr>
          <w:trHeight w:val="227"/>
        </w:trPr>
        <w:tc>
          <w:tcPr>
            <w:tcW w:w="2058" w:type="dxa"/>
            <w:vMerge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Default="005032C7" w:rsidP="00BD2662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Connaître les jours de la semaine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BD266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Se repérer sur la frise du mois (y retrouver des informations)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S’exprimer par le chant, le dessin, la peinture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BD2662" w:rsidRPr="006404CA" w:rsidTr="00BD2662">
        <w:trPr>
          <w:trHeight w:val="340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BD2662" w:rsidRPr="006404CA" w:rsidRDefault="00BD266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Reconnaître des œuvres visuelles ou musicales étudiées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2662" w:rsidRPr="006404CA" w:rsidRDefault="00BD266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  <w:t>Les compétences sociales et civiques</w:t>
            </w:r>
          </w:p>
        </w:tc>
        <w:tc>
          <w:tcPr>
            <w:tcW w:w="6093" w:type="dxa"/>
            <w:vMerge w:val="restart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Appliquer les codes de politesse</w:t>
            </w:r>
          </w:p>
        </w:tc>
        <w:tc>
          <w:tcPr>
            <w:tcW w:w="6093" w:type="dxa"/>
            <w:gridSpan w:val="2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dans ses relations avec ses camarades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609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avec l’enseignante dans la classe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6093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6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avec l’ensemble des adultes de l’école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Respecter les règles de la vie collective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Prendre conscience de la notion de droits et de devoirs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S’abstenir de tout comportement violent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sz w:val="19"/>
                <w:szCs w:val="19"/>
                <w:lang w:eastAsia="fr-FR"/>
              </w:rPr>
            </w:pPr>
          </w:p>
        </w:tc>
      </w:tr>
      <w:tr w:rsidR="000C2D82" w:rsidRPr="006404CA" w:rsidTr="003820AE">
        <w:trPr>
          <w:trHeight w:val="227"/>
        </w:trPr>
        <w:tc>
          <w:tcPr>
            <w:tcW w:w="2058" w:type="dxa"/>
            <w:vMerge w:val="restart"/>
            <w:tcBorders>
              <w:top w:val="doubleWave" w:sz="6" w:space="0" w:color="auto"/>
              <w:bottom w:val="doubleWave" w:sz="6" w:space="0" w:color="auto"/>
              <w:right w:val="single" w:sz="8" w:space="0" w:color="auto"/>
            </w:tcBorders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  <w:r w:rsidRPr="006404CA">
              <w:rPr>
                <w:rFonts w:ascii="Segoe Print" w:eastAsia="Times New Roman" w:hAnsi="Segoe Print" w:cs="Times New Roman"/>
                <w:b/>
                <w:sz w:val="21"/>
                <w:szCs w:val="21"/>
                <w:lang w:eastAsia="fr-FR"/>
              </w:rPr>
              <w:t>L’autonomie et l’initiative</w:t>
            </w:r>
          </w:p>
        </w:tc>
        <w:tc>
          <w:tcPr>
            <w:tcW w:w="12186" w:type="dxa"/>
            <w:gridSpan w:val="3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Respecter des consignes simples, en autonomie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20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Etre persévérant dans toutes les activités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3820AE">
        <w:trPr>
          <w:trHeight w:val="120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Ecouter, coopérer, aider et demander de l’aide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0C2D82" w:rsidRPr="006404CA" w:rsidTr="005032C7">
        <w:trPr>
          <w:trHeight w:val="20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12186" w:type="dxa"/>
            <w:gridSpan w:val="3"/>
            <w:tcBorders>
              <w:top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S’impliquer dans un projet individuel ou collectif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5032C7" w:rsidRPr="006404CA" w:rsidTr="005032C7">
        <w:trPr>
          <w:trHeight w:val="20"/>
        </w:trPr>
        <w:tc>
          <w:tcPr>
            <w:tcW w:w="2058" w:type="dxa"/>
            <w:vMerge w:val="restart"/>
            <w:tcBorders>
              <w:top w:val="doubleWave" w:sz="6" w:space="0" w:color="auto"/>
              <w:right w:val="single" w:sz="8" w:space="0" w:color="auto"/>
            </w:tcBorders>
          </w:tcPr>
          <w:p w:rsidR="00811A71" w:rsidRDefault="00811A71" w:rsidP="00811A71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</w:p>
          <w:p w:rsidR="005032C7" w:rsidRPr="00811A71" w:rsidRDefault="005032C7" w:rsidP="00811A71">
            <w:pPr>
              <w:spacing w:after="0" w:line="240" w:lineRule="auto"/>
              <w:jc w:val="center"/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</w:pPr>
            <w:r w:rsidRPr="00811A71">
              <w:rPr>
                <w:rFonts w:ascii="Segoe Print" w:eastAsia="Times New Roman" w:hAnsi="Segoe Print" w:cs="Times New Roman"/>
                <w:b/>
                <w:szCs w:val="20"/>
                <w:lang w:eastAsia="fr-FR"/>
              </w:rPr>
              <w:t>EPS</w:t>
            </w:r>
          </w:p>
        </w:tc>
        <w:tc>
          <w:tcPr>
            <w:tcW w:w="12186" w:type="dxa"/>
            <w:gridSpan w:val="3"/>
            <w:tcBorders>
              <w:top w:val="doubleWav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 xml:space="preserve">Réaliser une performance mesurée en athlétisme (le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courseton</w:t>
            </w:r>
            <w:proofErr w:type="spellEnd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852" w:type="dxa"/>
            <w:tcBorders>
              <w:top w:val="doubleWav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5032C7" w:rsidRPr="006404CA" w:rsidTr="00DC57C3">
        <w:trPr>
          <w:trHeight w:val="257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6360" w:type="dxa"/>
            <w:gridSpan w:val="2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Adapter ses déplacements à différents types d’environnements</w:t>
            </w:r>
          </w:p>
        </w:tc>
        <w:tc>
          <w:tcPr>
            <w:tcW w:w="582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Default="005032C7" w:rsidP="005032C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La natation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5032C7" w:rsidRPr="006404CA" w:rsidTr="005032C7">
        <w:trPr>
          <w:trHeight w:val="285"/>
        </w:trPr>
        <w:tc>
          <w:tcPr>
            <w:tcW w:w="2058" w:type="dxa"/>
            <w:vMerge/>
            <w:tcBorders>
              <w:right w:val="single" w:sz="8" w:space="0" w:color="auto"/>
            </w:tcBorders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636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Default="005032C7" w:rsidP="005032C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Le roller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  <w:tr w:rsidR="005032C7" w:rsidRPr="006404CA" w:rsidTr="005032C7">
        <w:trPr>
          <w:trHeight w:val="285"/>
        </w:trPr>
        <w:tc>
          <w:tcPr>
            <w:tcW w:w="2058" w:type="dxa"/>
            <w:vMerge/>
            <w:tcBorders>
              <w:bottom w:val="doubleWave" w:sz="6" w:space="0" w:color="auto"/>
              <w:right w:val="single" w:sz="8" w:space="0" w:color="auto"/>
            </w:tcBorders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Cs w:val="20"/>
                <w:lang w:eastAsia="fr-FR"/>
              </w:rPr>
            </w:pPr>
          </w:p>
        </w:tc>
        <w:tc>
          <w:tcPr>
            <w:tcW w:w="6360" w:type="dxa"/>
            <w:gridSpan w:val="2"/>
            <w:tcBorders>
              <w:top w:val="single" w:sz="2" w:space="0" w:color="auto"/>
              <w:bottom w:val="doubleWav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032C7" w:rsidRDefault="005032C7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Pratiquer un jeu ou sport collectif en respectant les règles</w:t>
            </w:r>
          </w:p>
        </w:tc>
        <w:tc>
          <w:tcPr>
            <w:tcW w:w="5826" w:type="dxa"/>
            <w:tcBorders>
              <w:top w:val="single" w:sz="2" w:space="0" w:color="auto"/>
              <w:left w:val="single" w:sz="2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Default="005032C7" w:rsidP="005032C7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La petite t</w:t>
            </w:r>
            <w:r w:rsidR="00BA1961"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h</w:t>
            </w:r>
            <w:bookmarkStart w:id="0" w:name="_GoBack"/>
            <w:bookmarkEnd w:id="0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fr-FR"/>
              </w:rPr>
              <w:t>èque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8" w:space="0" w:color="auto"/>
              <w:bottom w:val="doubleWav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032C7" w:rsidRPr="006404CA" w:rsidRDefault="005032C7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0"/>
                <w:szCs w:val="24"/>
                <w:lang w:eastAsia="fr-FR"/>
              </w:rPr>
            </w:pPr>
          </w:p>
        </w:tc>
      </w:tr>
    </w:tbl>
    <w:p w:rsidR="005032C7" w:rsidRDefault="005032C7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5032C7" w:rsidRPr="006404CA" w:rsidRDefault="005032C7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  <w:r w:rsidRPr="006404CA"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  <w:t xml:space="preserve">Révision et actualisation du projet individuel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296"/>
      </w:tblGrid>
      <w:tr w:rsidR="000C2D82" w:rsidRPr="006404CA" w:rsidTr="003820AE">
        <w:trPr>
          <w:trHeight w:val="424"/>
          <w:jc w:val="center"/>
        </w:trPr>
        <w:tc>
          <w:tcPr>
            <w:tcW w:w="10296" w:type="dxa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</w:pPr>
            <w:r w:rsidRPr="006404CA">
              <w:rPr>
                <w:rFonts w:ascii="Comic Sans MS" w:eastAsia="Times New Roman" w:hAnsi="Comic Sans MS" w:cs="Times New Roman"/>
                <w:b/>
                <w:sz w:val="24"/>
                <w:szCs w:val="24"/>
                <w:lang w:eastAsia="fr-FR"/>
              </w:rPr>
              <w:t>Bilan</w:t>
            </w:r>
          </w:p>
          <w:p w:rsidR="000C2D82" w:rsidRPr="004468B4" w:rsidRDefault="004468B4" w:rsidP="004468B4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  <w:r w:rsidRPr="004468B4">
              <w:rPr>
                <w:rFonts w:ascii="Comic Sans MS" w:eastAsia="Times New Roman" w:hAnsi="Comic Sans MS" w:cs="Times New Roman"/>
                <w:i/>
                <w:sz w:val="24"/>
                <w:szCs w:val="24"/>
                <w:lang w:eastAsia="fr-FR"/>
              </w:rPr>
              <w:t>Date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 ………………………..</w:t>
            </w:r>
          </w:p>
        </w:tc>
      </w:tr>
      <w:tr w:rsidR="000C2D82" w:rsidRPr="006404CA" w:rsidTr="003820AE">
        <w:trPr>
          <w:trHeight w:val="2442"/>
          <w:jc w:val="center"/>
        </w:trPr>
        <w:tc>
          <w:tcPr>
            <w:tcW w:w="10296" w:type="dxa"/>
            <w:vAlign w:val="center"/>
          </w:tcPr>
          <w:p w:rsidR="000C2D82" w:rsidRPr="006404CA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1"/>
                <w:szCs w:val="21"/>
                <w:lang w:eastAsia="fr-FR"/>
              </w:rPr>
            </w:pPr>
          </w:p>
        </w:tc>
      </w:tr>
    </w:tbl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16"/>
          <w:szCs w:val="24"/>
          <w:u w:val="single"/>
          <w:lang w:eastAsia="fr-FR"/>
        </w:rPr>
      </w:pPr>
    </w:p>
    <w:p w:rsidR="000C2D82" w:rsidRPr="006404CA" w:rsidRDefault="000C2D82" w:rsidP="000C2D82">
      <w:pPr>
        <w:spacing w:after="0" w:line="240" w:lineRule="auto"/>
        <w:jc w:val="center"/>
        <w:rPr>
          <w:rFonts w:ascii="Cursive standard" w:eastAsia="Times New Roman" w:hAnsi="Cursive standard" w:cs="Times New Roman"/>
          <w:b/>
          <w:sz w:val="32"/>
          <w:szCs w:val="24"/>
          <w:u w:val="single"/>
          <w:lang w:eastAsia="fr-FR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795"/>
        <w:gridCol w:w="3619"/>
        <w:gridCol w:w="3574"/>
      </w:tblGrid>
      <w:tr w:rsidR="000C2D82" w:rsidRPr="006404CA" w:rsidTr="003820AE">
        <w:trPr>
          <w:trHeight w:val="467"/>
          <w:jc w:val="center"/>
        </w:trPr>
        <w:tc>
          <w:tcPr>
            <w:tcW w:w="3795" w:type="dxa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6404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  <w:t>L’enseignante</w:t>
            </w:r>
          </w:p>
        </w:tc>
        <w:tc>
          <w:tcPr>
            <w:tcW w:w="3619" w:type="dxa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6404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  <w:t>L’élève</w:t>
            </w:r>
          </w:p>
        </w:tc>
        <w:tc>
          <w:tcPr>
            <w:tcW w:w="3574" w:type="dxa"/>
            <w:vAlign w:val="center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</w:pPr>
            <w:r w:rsidRPr="006404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fr-FR"/>
              </w:rPr>
              <w:t>La famille</w:t>
            </w:r>
          </w:p>
        </w:tc>
      </w:tr>
      <w:tr w:rsidR="000C2D82" w:rsidRPr="006404CA" w:rsidTr="003820AE">
        <w:trPr>
          <w:trHeight w:val="2387"/>
          <w:jc w:val="center"/>
        </w:trPr>
        <w:tc>
          <w:tcPr>
            <w:tcW w:w="3795" w:type="dxa"/>
          </w:tcPr>
          <w:p w:rsidR="000C2D82" w:rsidRPr="006404CA" w:rsidRDefault="000C2D82" w:rsidP="003820AE">
            <w:pPr>
              <w:jc w:val="both"/>
              <w:rPr>
                <w:rFonts w:ascii="Comic Sans MS" w:eastAsia="Calibri" w:hAnsi="Comic Sans MS" w:cs="Times New Roman"/>
                <w:sz w:val="20"/>
              </w:rPr>
            </w:pPr>
          </w:p>
        </w:tc>
        <w:tc>
          <w:tcPr>
            <w:tcW w:w="3619" w:type="dxa"/>
          </w:tcPr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574" w:type="dxa"/>
          </w:tcPr>
          <w:p w:rsidR="000C2D82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  <w:p w:rsidR="000C2D82" w:rsidRDefault="000C2D82" w:rsidP="003820AE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  <w:p w:rsidR="000C2D82" w:rsidRPr="006404CA" w:rsidRDefault="000C2D82" w:rsidP="003820AE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</w:pPr>
          </w:p>
        </w:tc>
      </w:tr>
    </w:tbl>
    <w:p w:rsidR="000C2D82" w:rsidRPr="006404CA" w:rsidRDefault="000C2D82" w:rsidP="000C2D82">
      <w:pPr>
        <w:spacing w:after="0" w:line="240" w:lineRule="auto"/>
        <w:jc w:val="center"/>
        <w:rPr>
          <w:rFonts w:ascii="Comic Sans MS" w:eastAsia="Times New Roman" w:hAnsi="Comic Sans MS" w:cs="Times New Roman"/>
          <w:sz w:val="28"/>
          <w:szCs w:val="24"/>
          <w:lang w:eastAsia="fr-FR"/>
        </w:rPr>
      </w:pPr>
    </w:p>
    <w:p w:rsidR="000C2D82" w:rsidRDefault="000C2D82" w:rsidP="000C2D82"/>
    <w:p w:rsidR="004D50D7" w:rsidRDefault="004D50D7"/>
    <w:sectPr w:rsidR="004D50D7" w:rsidSect="006404CA">
      <w:pgSz w:w="16838" w:h="11906" w:orient="landscape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CA" w:rsidRDefault="00EF19CA" w:rsidP="00BD2662">
      <w:pPr>
        <w:spacing w:after="0" w:line="240" w:lineRule="auto"/>
      </w:pPr>
      <w:r>
        <w:separator/>
      </w:r>
    </w:p>
  </w:endnote>
  <w:endnote w:type="continuationSeparator" w:id="0">
    <w:p w:rsidR="00EF19CA" w:rsidRDefault="00EF19CA" w:rsidP="00BD2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Suplexmentary Comic NC">
    <w:panose1 w:val="03050504000000020004"/>
    <w:charset w:val="00"/>
    <w:family w:val="script"/>
    <w:pitch w:val="variable"/>
    <w:sig w:usb0="800000AF" w:usb1="4000204A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CA" w:rsidRDefault="00EF19CA" w:rsidP="00BD2662">
      <w:pPr>
        <w:spacing w:after="0" w:line="240" w:lineRule="auto"/>
      </w:pPr>
      <w:r>
        <w:separator/>
      </w:r>
    </w:p>
  </w:footnote>
  <w:footnote w:type="continuationSeparator" w:id="0">
    <w:p w:rsidR="00EF19CA" w:rsidRDefault="00EF19CA" w:rsidP="00BD2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82"/>
    <w:rsid w:val="000C2D82"/>
    <w:rsid w:val="004468B4"/>
    <w:rsid w:val="004D50D7"/>
    <w:rsid w:val="005032C7"/>
    <w:rsid w:val="006B1394"/>
    <w:rsid w:val="00811A71"/>
    <w:rsid w:val="00B21927"/>
    <w:rsid w:val="00BA1961"/>
    <w:rsid w:val="00BD2662"/>
    <w:rsid w:val="00C5095B"/>
    <w:rsid w:val="00EF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62"/>
  </w:style>
  <w:style w:type="paragraph" w:styleId="Pieddepage">
    <w:name w:val="footer"/>
    <w:basedOn w:val="Normal"/>
    <w:link w:val="PieddepageCar"/>
    <w:uiPriority w:val="99"/>
    <w:unhideWhenUsed/>
    <w:rsid w:val="00BD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D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2662"/>
  </w:style>
  <w:style w:type="paragraph" w:styleId="Pieddepage">
    <w:name w:val="footer"/>
    <w:basedOn w:val="Normal"/>
    <w:link w:val="PieddepageCar"/>
    <w:uiPriority w:val="99"/>
    <w:unhideWhenUsed/>
    <w:rsid w:val="00BD2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2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mylene</dc:creator>
  <cp:lastModifiedBy>mylene</cp:lastModifiedBy>
  <cp:revision>3</cp:revision>
  <dcterms:created xsi:type="dcterms:W3CDTF">2012-12-09T13:55:00Z</dcterms:created>
  <dcterms:modified xsi:type="dcterms:W3CDTF">2012-12-12T20:34:00Z</dcterms:modified>
</cp:coreProperties>
</file>