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six axes de lutte contre la difficulté scolaire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acquérir grâce à des pratiques quotidiennes le pouvoir effectif de décrire et de raconter des histoires adaptées à l’âge des élèves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pratiquer régulièrement des lectures à haute voix de l’adulte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pratiquer régulièrement des lectures à haute voix de l’enfant en capacité de le faire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construire dés la gs des liens franco anglais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enrichir quotidiennement le vocabulaire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développer des pratiques personnelles et des échanges organisés en bcd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“Un pessimiste voit la difficulté dans chaque opportunité, un optimiste voit l’opportunité dans chaque difficulté” Gilbert Choquette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