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491" w:rsidRPr="00DC7898" w:rsidRDefault="00DC7898" w:rsidP="00DC7898">
      <w:pPr>
        <w:spacing w:after="0"/>
        <w:jc w:val="center"/>
        <w:rPr>
          <w:rFonts w:ascii="Arial" w:hAnsi="Arial" w:cs="Arial"/>
          <w:b/>
          <w:sz w:val="28"/>
          <w:szCs w:val="28"/>
        </w:rPr>
      </w:pPr>
      <w:r w:rsidRPr="00DC7898">
        <w:rPr>
          <w:rFonts w:ascii="Arial" w:hAnsi="Arial" w:cs="Arial"/>
          <w:b/>
          <w:sz w:val="28"/>
          <w:szCs w:val="28"/>
        </w:rPr>
        <w:t>Spéculation sur les comptes de Chanel</w:t>
      </w:r>
    </w:p>
    <w:p w:rsidR="00DC7898" w:rsidRDefault="00DC7898" w:rsidP="00DC7898">
      <w:pPr>
        <w:spacing w:after="0"/>
        <w:jc w:val="both"/>
        <w:rPr>
          <w:rFonts w:ascii="Arial" w:hAnsi="Arial" w:cs="Arial"/>
          <w:sz w:val="24"/>
          <w:szCs w:val="24"/>
        </w:rPr>
      </w:pPr>
    </w:p>
    <w:p w:rsidR="00DC7898" w:rsidRDefault="00DC7898" w:rsidP="00DC7898">
      <w:pPr>
        <w:spacing w:after="0"/>
        <w:jc w:val="both"/>
        <w:rPr>
          <w:rFonts w:ascii="Arial" w:hAnsi="Arial" w:cs="Arial"/>
          <w:sz w:val="24"/>
          <w:szCs w:val="24"/>
        </w:rPr>
      </w:pPr>
      <w:r>
        <w:rPr>
          <w:rFonts w:ascii="Arial" w:hAnsi="Arial" w:cs="Arial"/>
          <w:sz w:val="24"/>
          <w:szCs w:val="24"/>
        </w:rPr>
        <w:t>Les spéculateurs ont trouvé un nouveau champ d’ex</w:t>
      </w:r>
      <w:r w:rsidR="002863F6">
        <w:rPr>
          <w:rFonts w:ascii="Arial" w:hAnsi="Arial" w:cs="Arial"/>
          <w:sz w:val="24"/>
          <w:szCs w:val="24"/>
        </w:rPr>
        <w:t>périmentation</w:t>
      </w:r>
      <w:r>
        <w:rPr>
          <w:rFonts w:ascii="Arial" w:hAnsi="Arial" w:cs="Arial"/>
          <w:sz w:val="24"/>
          <w:szCs w:val="24"/>
        </w:rPr>
        <w:t xml:space="preserve"> de leurs « compétences ».</w:t>
      </w:r>
    </w:p>
    <w:p w:rsidR="00DC7898" w:rsidRDefault="00DC7898" w:rsidP="00DC7898">
      <w:pPr>
        <w:spacing w:after="0"/>
        <w:jc w:val="both"/>
        <w:rPr>
          <w:rFonts w:ascii="Arial" w:hAnsi="Arial" w:cs="Arial"/>
          <w:sz w:val="24"/>
          <w:szCs w:val="24"/>
        </w:rPr>
      </w:pPr>
      <w:r>
        <w:rPr>
          <w:rFonts w:ascii="Arial" w:hAnsi="Arial" w:cs="Arial"/>
          <w:sz w:val="24"/>
          <w:szCs w:val="24"/>
        </w:rPr>
        <w:t>Après la publication « pour la première fois » des comptes de Chanel (Royaume-Uni) le 21 juin 2018</w:t>
      </w:r>
      <w:r w:rsidR="007F1081">
        <w:rPr>
          <w:rFonts w:ascii="Arial" w:hAnsi="Arial" w:cs="Arial"/>
          <w:sz w:val="24"/>
          <w:szCs w:val="24"/>
        </w:rPr>
        <w:t xml:space="preserve"> par Reuters (interview du directeur financier Philippe </w:t>
      </w:r>
      <w:proofErr w:type="spellStart"/>
      <w:r w:rsidR="007F1081">
        <w:rPr>
          <w:rFonts w:ascii="Arial" w:hAnsi="Arial" w:cs="Arial"/>
          <w:sz w:val="24"/>
          <w:szCs w:val="24"/>
        </w:rPr>
        <w:t>Blondiaux</w:t>
      </w:r>
      <w:proofErr w:type="spellEnd"/>
      <w:r w:rsidR="007F1081">
        <w:rPr>
          <w:rFonts w:ascii="Arial" w:hAnsi="Arial" w:cs="Arial"/>
          <w:sz w:val="24"/>
          <w:szCs w:val="24"/>
        </w:rPr>
        <w:t>)</w:t>
      </w:r>
      <w:r>
        <w:rPr>
          <w:rFonts w:ascii="Arial" w:hAnsi="Arial" w:cs="Arial"/>
          <w:sz w:val="24"/>
          <w:szCs w:val="24"/>
        </w:rPr>
        <w:t>, les gazettes financières alignent les dizaines de milliards pour la valorisation du groupe, avec en ligne de mire les comparaisons avec Vuitton (LVMH), Gucci (Kering) et Hermès.</w:t>
      </w:r>
    </w:p>
    <w:p w:rsidR="00DC7898" w:rsidRDefault="00DC7898" w:rsidP="00DC7898">
      <w:pPr>
        <w:spacing w:after="0"/>
        <w:jc w:val="both"/>
        <w:rPr>
          <w:rFonts w:ascii="Arial" w:hAnsi="Arial" w:cs="Arial"/>
          <w:sz w:val="24"/>
          <w:szCs w:val="24"/>
        </w:rPr>
      </w:pPr>
    </w:p>
    <w:p w:rsidR="002863F6" w:rsidRDefault="002863F6" w:rsidP="00DC7898">
      <w:pPr>
        <w:spacing w:after="0"/>
        <w:jc w:val="both"/>
        <w:rPr>
          <w:rFonts w:ascii="Arial" w:hAnsi="Arial" w:cs="Arial"/>
          <w:sz w:val="24"/>
          <w:szCs w:val="24"/>
        </w:rPr>
      </w:pPr>
      <w:r>
        <w:rPr>
          <w:rFonts w:ascii="Arial" w:hAnsi="Arial" w:cs="Arial"/>
          <w:sz w:val="24"/>
          <w:szCs w:val="24"/>
        </w:rPr>
        <w:t xml:space="preserve">Nous en étions restés pour notre part à la publication des comptes consolidés de Chanel International aux Pays-Bas, qui coiffait l’essentiel du groupe depuis de nombreuses années (y compris Chanel </w:t>
      </w:r>
      <w:r w:rsidR="00E24697">
        <w:rPr>
          <w:rFonts w:ascii="Arial" w:hAnsi="Arial" w:cs="Arial"/>
          <w:sz w:val="24"/>
          <w:szCs w:val="24"/>
        </w:rPr>
        <w:t>France)</w:t>
      </w:r>
      <w:r w:rsidR="007F1081">
        <w:rPr>
          <w:rFonts w:ascii="Arial" w:hAnsi="Arial" w:cs="Arial"/>
          <w:sz w:val="24"/>
          <w:szCs w:val="24"/>
        </w:rPr>
        <w:t> ; en 2016, la partie Eres (lingerie et maillots de bain) a été déconsolidée, transmise à une autre composante du groupe Chanel (qu’on retrouve dans les comptes 2017 « dévoilés », mais non encore publiés : à la date du 25 juin, pas de comptes publiés en France par « Groupe Chanel SAS – RC n° 5</w:t>
      </w:r>
      <w:r w:rsidR="00B7196E">
        <w:rPr>
          <w:rFonts w:ascii="Arial" w:hAnsi="Arial" w:cs="Arial"/>
          <w:sz w:val="24"/>
          <w:szCs w:val="24"/>
        </w:rPr>
        <w:t>4</w:t>
      </w:r>
      <w:r w:rsidR="007F1081">
        <w:rPr>
          <w:rFonts w:ascii="Arial" w:hAnsi="Arial" w:cs="Arial"/>
          <w:sz w:val="24"/>
          <w:szCs w:val="24"/>
        </w:rPr>
        <w:t>2 0</w:t>
      </w:r>
      <w:r w:rsidR="005A3D1A">
        <w:rPr>
          <w:rFonts w:ascii="Arial" w:hAnsi="Arial" w:cs="Arial"/>
          <w:sz w:val="24"/>
          <w:szCs w:val="24"/>
        </w:rPr>
        <w:t>52</w:t>
      </w:r>
      <w:r w:rsidR="007F1081">
        <w:rPr>
          <w:rFonts w:ascii="Arial" w:hAnsi="Arial" w:cs="Arial"/>
          <w:sz w:val="24"/>
          <w:szCs w:val="24"/>
        </w:rPr>
        <w:t> </w:t>
      </w:r>
      <w:r w:rsidR="005A3D1A">
        <w:rPr>
          <w:rFonts w:ascii="Arial" w:hAnsi="Arial" w:cs="Arial"/>
          <w:sz w:val="24"/>
          <w:szCs w:val="24"/>
        </w:rPr>
        <w:t>766</w:t>
      </w:r>
      <w:r w:rsidR="007F1081">
        <w:rPr>
          <w:rFonts w:ascii="Arial" w:hAnsi="Arial" w:cs="Arial"/>
          <w:sz w:val="24"/>
          <w:szCs w:val="24"/>
        </w:rPr>
        <w:t> ; et pas de comptes publiés aux Pays-Bas par Chanel International BV – RC n° 28</w:t>
      </w:r>
      <w:r w:rsidR="00084024">
        <w:rPr>
          <w:rFonts w:ascii="Arial" w:hAnsi="Arial" w:cs="Arial"/>
          <w:sz w:val="24"/>
          <w:szCs w:val="24"/>
        </w:rPr>
        <w:t> 057 114).</w:t>
      </w:r>
    </w:p>
    <w:p w:rsidR="005F6B3C" w:rsidRDefault="005F6B3C" w:rsidP="00DC7898">
      <w:pPr>
        <w:spacing w:after="0"/>
        <w:jc w:val="both"/>
        <w:rPr>
          <w:rFonts w:ascii="Arial" w:hAnsi="Arial" w:cs="Arial"/>
          <w:sz w:val="24"/>
          <w:szCs w:val="24"/>
        </w:rPr>
      </w:pPr>
    </w:p>
    <w:p w:rsidR="005F6B3C" w:rsidRDefault="00661B18" w:rsidP="00DC7898">
      <w:pPr>
        <w:spacing w:after="0"/>
        <w:jc w:val="both"/>
        <w:rPr>
          <w:rFonts w:ascii="Arial" w:hAnsi="Arial" w:cs="Arial"/>
          <w:sz w:val="24"/>
          <w:szCs w:val="24"/>
        </w:rPr>
      </w:pPr>
      <w:r>
        <w:rPr>
          <w:rFonts w:ascii="Arial" w:hAnsi="Arial" w:cs="Arial"/>
          <w:sz w:val="24"/>
          <w:szCs w:val="24"/>
        </w:rPr>
        <w:t>Les comptes consolidés de Chanel International présentaient les données suivantes :</w:t>
      </w:r>
    </w:p>
    <w:p w:rsidR="00661B18" w:rsidRDefault="00661B18" w:rsidP="00DC7898">
      <w:pPr>
        <w:spacing w:after="0"/>
        <w:jc w:val="both"/>
        <w:rPr>
          <w:rFonts w:ascii="Arial" w:hAnsi="Arial" w:cs="Arial"/>
          <w:sz w:val="24"/>
          <w:szCs w:val="24"/>
        </w:rPr>
      </w:pPr>
    </w:p>
    <w:tbl>
      <w:tblPr>
        <w:tblStyle w:val="Grilledutableau"/>
        <w:tblW w:w="9204" w:type="dxa"/>
        <w:tblLook w:val="04A0" w:firstRow="1" w:lastRow="0" w:firstColumn="1" w:lastColumn="0" w:noHBand="0" w:noVBand="1"/>
      </w:tblPr>
      <w:tblGrid>
        <w:gridCol w:w="3067"/>
        <w:gridCol w:w="876"/>
        <w:gridCol w:w="877"/>
        <w:gridCol w:w="877"/>
        <w:gridCol w:w="876"/>
        <w:gridCol w:w="877"/>
        <w:gridCol w:w="877"/>
        <w:gridCol w:w="877"/>
      </w:tblGrid>
      <w:tr w:rsidR="00661B18" w:rsidTr="00661B18">
        <w:tc>
          <w:tcPr>
            <w:tcW w:w="3067" w:type="dxa"/>
          </w:tcPr>
          <w:p w:rsidR="00661B18" w:rsidRPr="00661B18" w:rsidRDefault="00661B18" w:rsidP="00DC7898">
            <w:pPr>
              <w:jc w:val="both"/>
              <w:rPr>
                <w:rFonts w:ascii="Arial" w:hAnsi="Arial" w:cs="Arial"/>
                <w:sz w:val="20"/>
                <w:szCs w:val="20"/>
              </w:rPr>
            </w:pPr>
            <w:r>
              <w:rPr>
                <w:rFonts w:ascii="Arial" w:hAnsi="Arial" w:cs="Arial"/>
                <w:sz w:val="20"/>
                <w:szCs w:val="20"/>
              </w:rPr>
              <w:t>Données en M €uros</w:t>
            </w:r>
          </w:p>
        </w:tc>
        <w:tc>
          <w:tcPr>
            <w:tcW w:w="876" w:type="dxa"/>
          </w:tcPr>
          <w:p w:rsidR="00661B18" w:rsidRPr="00661B18" w:rsidRDefault="00661B18" w:rsidP="00661B18">
            <w:pPr>
              <w:jc w:val="center"/>
              <w:rPr>
                <w:rFonts w:ascii="Arial" w:hAnsi="Arial" w:cs="Arial"/>
                <w:sz w:val="20"/>
                <w:szCs w:val="20"/>
              </w:rPr>
            </w:pPr>
            <w:r>
              <w:rPr>
                <w:rFonts w:ascii="Arial" w:hAnsi="Arial" w:cs="Arial"/>
                <w:sz w:val="20"/>
                <w:szCs w:val="20"/>
              </w:rPr>
              <w:t>2010</w:t>
            </w:r>
          </w:p>
        </w:tc>
        <w:tc>
          <w:tcPr>
            <w:tcW w:w="877" w:type="dxa"/>
          </w:tcPr>
          <w:p w:rsidR="00661B18" w:rsidRPr="00661B18" w:rsidRDefault="00661B18" w:rsidP="00661B18">
            <w:pPr>
              <w:jc w:val="center"/>
              <w:rPr>
                <w:rFonts w:ascii="Arial" w:hAnsi="Arial" w:cs="Arial"/>
                <w:sz w:val="20"/>
                <w:szCs w:val="20"/>
              </w:rPr>
            </w:pPr>
            <w:r>
              <w:rPr>
                <w:rFonts w:ascii="Arial" w:hAnsi="Arial" w:cs="Arial"/>
                <w:sz w:val="20"/>
                <w:szCs w:val="20"/>
              </w:rPr>
              <w:t>2011</w:t>
            </w:r>
          </w:p>
        </w:tc>
        <w:tc>
          <w:tcPr>
            <w:tcW w:w="877" w:type="dxa"/>
          </w:tcPr>
          <w:p w:rsidR="00661B18" w:rsidRPr="00661B18" w:rsidRDefault="00661B18" w:rsidP="00661B18">
            <w:pPr>
              <w:jc w:val="center"/>
              <w:rPr>
                <w:rFonts w:ascii="Arial" w:hAnsi="Arial" w:cs="Arial"/>
                <w:sz w:val="20"/>
                <w:szCs w:val="20"/>
              </w:rPr>
            </w:pPr>
            <w:r>
              <w:rPr>
                <w:rFonts w:ascii="Arial" w:hAnsi="Arial" w:cs="Arial"/>
                <w:sz w:val="20"/>
                <w:szCs w:val="20"/>
              </w:rPr>
              <w:t>2012</w:t>
            </w:r>
          </w:p>
        </w:tc>
        <w:tc>
          <w:tcPr>
            <w:tcW w:w="876" w:type="dxa"/>
          </w:tcPr>
          <w:p w:rsidR="00661B18" w:rsidRPr="00661B18" w:rsidRDefault="00661B18" w:rsidP="00661B18">
            <w:pPr>
              <w:jc w:val="center"/>
              <w:rPr>
                <w:rFonts w:ascii="Arial" w:hAnsi="Arial" w:cs="Arial"/>
                <w:sz w:val="20"/>
                <w:szCs w:val="20"/>
              </w:rPr>
            </w:pPr>
            <w:r>
              <w:rPr>
                <w:rFonts w:ascii="Arial" w:hAnsi="Arial" w:cs="Arial"/>
                <w:sz w:val="20"/>
                <w:szCs w:val="20"/>
              </w:rPr>
              <w:t>2013</w:t>
            </w:r>
          </w:p>
        </w:tc>
        <w:tc>
          <w:tcPr>
            <w:tcW w:w="877" w:type="dxa"/>
          </w:tcPr>
          <w:p w:rsidR="00661B18" w:rsidRPr="00661B18" w:rsidRDefault="00661B18" w:rsidP="00661B18">
            <w:pPr>
              <w:jc w:val="center"/>
              <w:rPr>
                <w:rFonts w:ascii="Arial" w:hAnsi="Arial" w:cs="Arial"/>
                <w:sz w:val="20"/>
                <w:szCs w:val="20"/>
              </w:rPr>
            </w:pPr>
            <w:r>
              <w:rPr>
                <w:rFonts w:ascii="Arial" w:hAnsi="Arial" w:cs="Arial"/>
                <w:sz w:val="20"/>
                <w:szCs w:val="20"/>
              </w:rPr>
              <w:t>2014</w:t>
            </w:r>
          </w:p>
        </w:tc>
        <w:tc>
          <w:tcPr>
            <w:tcW w:w="877" w:type="dxa"/>
          </w:tcPr>
          <w:p w:rsidR="00661B18" w:rsidRPr="00661B18" w:rsidRDefault="00661B18" w:rsidP="00661B18">
            <w:pPr>
              <w:jc w:val="center"/>
              <w:rPr>
                <w:rFonts w:ascii="Arial" w:hAnsi="Arial" w:cs="Arial"/>
                <w:sz w:val="20"/>
                <w:szCs w:val="20"/>
              </w:rPr>
            </w:pPr>
            <w:r>
              <w:rPr>
                <w:rFonts w:ascii="Arial" w:hAnsi="Arial" w:cs="Arial"/>
                <w:sz w:val="20"/>
                <w:szCs w:val="20"/>
              </w:rPr>
              <w:t>2015</w:t>
            </w:r>
          </w:p>
        </w:tc>
        <w:tc>
          <w:tcPr>
            <w:tcW w:w="877" w:type="dxa"/>
          </w:tcPr>
          <w:p w:rsidR="00661B18" w:rsidRPr="00661B18" w:rsidRDefault="00661B18" w:rsidP="00661B18">
            <w:pPr>
              <w:jc w:val="center"/>
              <w:rPr>
                <w:rFonts w:ascii="Arial" w:hAnsi="Arial" w:cs="Arial"/>
                <w:sz w:val="20"/>
                <w:szCs w:val="20"/>
              </w:rPr>
            </w:pPr>
            <w:r>
              <w:rPr>
                <w:rFonts w:ascii="Arial" w:hAnsi="Arial" w:cs="Arial"/>
                <w:sz w:val="20"/>
                <w:szCs w:val="20"/>
              </w:rPr>
              <w:t>2016</w:t>
            </w:r>
          </w:p>
        </w:tc>
      </w:tr>
      <w:tr w:rsidR="00661B18" w:rsidTr="00661B18">
        <w:tc>
          <w:tcPr>
            <w:tcW w:w="3067" w:type="dxa"/>
          </w:tcPr>
          <w:p w:rsidR="00661B18" w:rsidRDefault="00661B18" w:rsidP="00661B18">
            <w:pPr>
              <w:jc w:val="both"/>
              <w:rPr>
                <w:rFonts w:ascii="Arial" w:hAnsi="Arial" w:cs="Arial"/>
                <w:sz w:val="20"/>
                <w:szCs w:val="20"/>
              </w:rPr>
            </w:pPr>
            <w:r>
              <w:rPr>
                <w:rFonts w:ascii="Arial" w:hAnsi="Arial" w:cs="Arial"/>
                <w:sz w:val="20"/>
                <w:szCs w:val="20"/>
              </w:rPr>
              <w:t>Chiffre d’affaires</w:t>
            </w:r>
          </w:p>
          <w:p w:rsidR="00661B18" w:rsidRDefault="00661B18" w:rsidP="00661B18">
            <w:pPr>
              <w:jc w:val="both"/>
              <w:rPr>
                <w:rFonts w:ascii="Arial" w:hAnsi="Arial" w:cs="Arial"/>
                <w:sz w:val="20"/>
                <w:szCs w:val="20"/>
              </w:rPr>
            </w:pPr>
            <w:r>
              <w:rPr>
                <w:rFonts w:ascii="Arial" w:hAnsi="Arial" w:cs="Arial"/>
                <w:sz w:val="20"/>
                <w:szCs w:val="20"/>
              </w:rPr>
              <w:t>Résultat opérationnel</w:t>
            </w:r>
          </w:p>
          <w:p w:rsidR="00661B18" w:rsidRDefault="00661B18" w:rsidP="00661B18">
            <w:pPr>
              <w:jc w:val="both"/>
              <w:rPr>
                <w:rFonts w:ascii="Arial" w:hAnsi="Arial" w:cs="Arial"/>
                <w:sz w:val="20"/>
                <w:szCs w:val="20"/>
              </w:rPr>
            </w:pPr>
            <w:r>
              <w:rPr>
                <w:rFonts w:ascii="Arial" w:hAnsi="Arial" w:cs="Arial"/>
                <w:sz w:val="20"/>
                <w:szCs w:val="20"/>
              </w:rPr>
              <w:t>Résultat net</w:t>
            </w:r>
          </w:p>
          <w:p w:rsidR="00661B18" w:rsidRDefault="00661B18" w:rsidP="00661B18">
            <w:pPr>
              <w:jc w:val="both"/>
              <w:rPr>
                <w:rFonts w:ascii="Arial" w:hAnsi="Arial" w:cs="Arial"/>
                <w:sz w:val="20"/>
                <w:szCs w:val="20"/>
              </w:rPr>
            </w:pPr>
            <w:r>
              <w:rPr>
                <w:rFonts w:ascii="Arial" w:hAnsi="Arial" w:cs="Arial"/>
                <w:sz w:val="20"/>
                <w:szCs w:val="20"/>
              </w:rPr>
              <w:t>Fonds propres</w:t>
            </w:r>
          </w:p>
          <w:p w:rsidR="00661B18" w:rsidRPr="00661B18" w:rsidRDefault="00661B18" w:rsidP="00661B18">
            <w:pPr>
              <w:jc w:val="both"/>
              <w:rPr>
                <w:rFonts w:ascii="Arial" w:hAnsi="Arial" w:cs="Arial"/>
                <w:sz w:val="20"/>
                <w:szCs w:val="20"/>
              </w:rPr>
            </w:pPr>
            <w:r>
              <w:rPr>
                <w:rFonts w:ascii="Arial" w:hAnsi="Arial" w:cs="Arial"/>
                <w:sz w:val="20"/>
                <w:szCs w:val="20"/>
              </w:rPr>
              <w:t>Résultat net / Fonds propres (%)</w:t>
            </w:r>
          </w:p>
        </w:tc>
        <w:tc>
          <w:tcPr>
            <w:tcW w:w="876" w:type="dxa"/>
          </w:tcPr>
          <w:p w:rsidR="00661B18" w:rsidRDefault="00661B18" w:rsidP="00661B18">
            <w:pPr>
              <w:jc w:val="right"/>
              <w:rPr>
                <w:rFonts w:ascii="Arial" w:hAnsi="Arial" w:cs="Arial"/>
                <w:sz w:val="20"/>
                <w:szCs w:val="20"/>
              </w:rPr>
            </w:pPr>
            <w:r>
              <w:rPr>
                <w:rFonts w:ascii="Arial" w:hAnsi="Arial" w:cs="Arial"/>
                <w:sz w:val="20"/>
                <w:szCs w:val="20"/>
              </w:rPr>
              <w:t>3 542</w:t>
            </w:r>
          </w:p>
          <w:p w:rsidR="00661B18" w:rsidRDefault="00661B18" w:rsidP="00661B18">
            <w:pPr>
              <w:jc w:val="right"/>
              <w:rPr>
                <w:rFonts w:ascii="Arial" w:hAnsi="Arial" w:cs="Arial"/>
                <w:sz w:val="20"/>
                <w:szCs w:val="20"/>
              </w:rPr>
            </w:pPr>
            <w:r>
              <w:rPr>
                <w:rFonts w:ascii="Arial" w:hAnsi="Arial" w:cs="Arial"/>
                <w:sz w:val="20"/>
                <w:szCs w:val="20"/>
              </w:rPr>
              <w:t>755</w:t>
            </w:r>
          </w:p>
          <w:p w:rsidR="00661B18" w:rsidRDefault="00661B18" w:rsidP="00661B18">
            <w:pPr>
              <w:jc w:val="right"/>
              <w:rPr>
                <w:rFonts w:ascii="Arial" w:hAnsi="Arial" w:cs="Arial"/>
                <w:sz w:val="20"/>
                <w:szCs w:val="20"/>
              </w:rPr>
            </w:pPr>
            <w:r>
              <w:rPr>
                <w:rFonts w:ascii="Arial" w:hAnsi="Arial" w:cs="Arial"/>
                <w:sz w:val="20"/>
                <w:szCs w:val="20"/>
              </w:rPr>
              <w:t>533</w:t>
            </w:r>
          </w:p>
          <w:p w:rsidR="00661B18" w:rsidRDefault="00661B18" w:rsidP="00661B18">
            <w:pPr>
              <w:jc w:val="right"/>
              <w:rPr>
                <w:rFonts w:ascii="Arial" w:hAnsi="Arial" w:cs="Arial"/>
                <w:sz w:val="20"/>
                <w:szCs w:val="20"/>
              </w:rPr>
            </w:pPr>
            <w:r>
              <w:rPr>
                <w:rFonts w:ascii="Arial" w:hAnsi="Arial" w:cs="Arial"/>
                <w:sz w:val="20"/>
                <w:szCs w:val="20"/>
              </w:rPr>
              <w:t>1 172</w:t>
            </w:r>
          </w:p>
          <w:p w:rsidR="00661B18" w:rsidRPr="00661B18" w:rsidRDefault="00661B18" w:rsidP="00661B18">
            <w:pPr>
              <w:jc w:val="right"/>
              <w:rPr>
                <w:rFonts w:ascii="Arial" w:hAnsi="Arial" w:cs="Arial"/>
                <w:sz w:val="20"/>
                <w:szCs w:val="20"/>
              </w:rPr>
            </w:pPr>
            <w:r>
              <w:rPr>
                <w:rFonts w:ascii="Arial" w:hAnsi="Arial" w:cs="Arial"/>
                <w:sz w:val="20"/>
                <w:szCs w:val="20"/>
              </w:rPr>
              <w:t>45,5</w:t>
            </w:r>
          </w:p>
        </w:tc>
        <w:tc>
          <w:tcPr>
            <w:tcW w:w="877" w:type="dxa"/>
          </w:tcPr>
          <w:p w:rsidR="00661B18" w:rsidRDefault="00661B18" w:rsidP="00661B18">
            <w:pPr>
              <w:jc w:val="right"/>
              <w:rPr>
                <w:rFonts w:ascii="Arial" w:hAnsi="Arial" w:cs="Arial"/>
                <w:sz w:val="20"/>
                <w:szCs w:val="20"/>
              </w:rPr>
            </w:pPr>
            <w:r>
              <w:rPr>
                <w:rFonts w:ascii="Arial" w:hAnsi="Arial" w:cs="Arial"/>
                <w:sz w:val="20"/>
                <w:szCs w:val="20"/>
              </w:rPr>
              <w:t>4 250</w:t>
            </w:r>
          </w:p>
          <w:p w:rsidR="00661B18" w:rsidRDefault="00F52524" w:rsidP="00661B18">
            <w:pPr>
              <w:jc w:val="right"/>
              <w:rPr>
                <w:rFonts w:ascii="Arial" w:hAnsi="Arial" w:cs="Arial"/>
                <w:sz w:val="20"/>
                <w:szCs w:val="20"/>
              </w:rPr>
            </w:pPr>
            <w:r>
              <w:rPr>
                <w:rFonts w:ascii="Arial" w:hAnsi="Arial" w:cs="Arial"/>
                <w:sz w:val="20"/>
                <w:szCs w:val="20"/>
              </w:rPr>
              <w:t>900</w:t>
            </w:r>
          </w:p>
          <w:p w:rsidR="00661B18" w:rsidRDefault="00F52524" w:rsidP="00661B18">
            <w:pPr>
              <w:jc w:val="right"/>
              <w:rPr>
                <w:rFonts w:ascii="Arial" w:hAnsi="Arial" w:cs="Arial"/>
                <w:sz w:val="20"/>
                <w:szCs w:val="20"/>
              </w:rPr>
            </w:pPr>
            <w:r>
              <w:rPr>
                <w:rFonts w:ascii="Arial" w:hAnsi="Arial" w:cs="Arial"/>
                <w:sz w:val="20"/>
                <w:szCs w:val="20"/>
              </w:rPr>
              <w:t>572</w:t>
            </w:r>
          </w:p>
          <w:p w:rsidR="00661B18" w:rsidRDefault="00F52524" w:rsidP="00661B18">
            <w:pPr>
              <w:jc w:val="right"/>
              <w:rPr>
                <w:rFonts w:ascii="Arial" w:hAnsi="Arial" w:cs="Arial"/>
                <w:sz w:val="20"/>
                <w:szCs w:val="20"/>
              </w:rPr>
            </w:pPr>
            <w:r>
              <w:rPr>
                <w:rFonts w:ascii="Arial" w:hAnsi="Arial" w:cs="Arial"/>
                <w:sz w:val="20"/>
                <w:szCs w:val="20"/>
              </w:rPr>
              <w:t>1 533</w:t>
            </w:r>
          </w:p>
          <w:p w:rsidR="00661B18" w:rsidRPr="00661B18" w:rsidRDefault="00661B18" w:rsidP="00661B18">
            <w:pPr>
              <w:jc w:val="right"/>
              <w:rPr>
                <w:rFonts w:ascii="Arial" w:hAnsi="Arial" w:cs="Arial"/>
                <w:sz w:val="20"/>
                <w:szCs w:val="20"/>
              </w:rPr>
            </w:pPr>
            <w:r>
              <w:rPr>
                <w:rFonts w:ascii="Arial" w:hAnsi="Arial" w:cs="Arial"/>
                <w:sz w:val="20"/>
                <w:szCs w:val="20"/>
              </w:rPr>
              <w:t>37,3</w:t>
            </w:r>
          </w:p>
        </w:tc>
        <w:tc>
          <w:tcPr>
            <w:tcW w:w="877" w:type="dxa"/>
          </w:tcPr>
          <w:p w:rsidR="00661B18" w:rsidRDefault="00661B18" w:rsidP="00661B18">
            <w:pPr>
              <w:jc w:val="right"/>
              <w:rPr>
                <w:rFonts w:ascii="Arial" w:hAnsi="Arial" w:cs="Arial"/>
                <w:sz w:val="20"/>
                <w:szCs w:val="20"/>
              </w:rPr>
            </w:pPr>
            <w:r>
              <w:rPr>
                <w:rFonts w:ascii="Arial" w:hAnsi="Arial" w:cs="Arial"/>
                <w:sz w:val="20"/>
                <w:szCs w:val="20"/>
              </w:rPr>
              <w:t>4 919</w:t>
            </w:r>
          </w:p>
          <w:p w:rsidR="00661B18" w:rsidRDefault="00F52524" w:rsidP="00661B18">
            <w:pPr>
              <w:jc w:val="right"/>
              <w:rPr>
                <w:rFonts w:ascii="Arial" w:hAnsi="Arial" w:cs="Arial"/>
                <w:sz w:val="20"/>
                <w:szCs w:val="20"/>
              </w:rPr>
            </w:pPr>
            <w:r>
              <w:rPr>
                <w:rFonts w:ascii="Arial" w:hAnsi="Arial" w:cs="Arial"/>
                <w:sz w:val="20"/>
                <w:szCs w:val="20"/>
              </w:rPr>
              <w:t>1 139</w:t>
            </w:r>
          </w:p>
          <w:p w:rsidR="00661B18" w:rsidRDefault="00F52524" w:rsidP="00661B18">
            <w:pPr>
              <w:jc w:val="right"/>
              <w:rPr>
                <w:rFonts w:ascii="Arial" w:hAnsi="Arial" w:cs="Arial"/>
                <w:sz w:val="20"/>
                <w:szCs w:val="20"/>
              </w:rPr>
            </w:pPr>
            <w:r>
              <w:rPr>
                <w:rFonts w:ascii="Arial" w:hAnsi="Arial" w:cs="Arial"/>
                <w:sz w:val="20"/>
                <w:szCs w:val="20"/>
              </w:rPr>
              <w:t>1 223</w:t>
            </w:r>
          </w:p>
          <w:p w:rsidR="00661B18" w:rsidRDefault="00F52524" w:rsidP="00661B18">
            <w:pPr>
              <w:jc w:val="right"/>
              <w:rPr>
                <w:rFonts w:ascii="Arial" w:hAnsi="Arial" w:cs="Arial"/>
                <w:sz w:val="20"/>
                <w:szCs w:val="20"/>
              </w:rPr>
            </w:pPr>
            <w:r>
              <w:rPr>
                <w:rFonts w:ascii="Arial" w:hAnsi="Arial" w:cs="Arial"/>
                <w:sz w:val="20"/>
                <w:szCs w:val="20"/>
              </w:rPr>
              <w:t>2 445</w:t>
            </w:r>
          </w:p>
          <w:p w:rsidR="00661B18" w:rsidRPr="00661B18" w:rsidRDefault="00661B18" w:rsidP="00661B18">
            <w:pPr>
              <w:jc w:val="right"/>
              <w:rPr>
                <w:rFonts w:ascii="Arial" w:hAnsi="Arial" w:cs="Arial"/>
                <w:sz w:val="20"/>
                <w:szCs w:val="20"/>
              </w:rPr>
            </w:pPr>
            <w:r>
              <w:rPr>
                <w:rFonts w:ascii="Arial" w:hAnsi="Arial" w:cs="Arial"/>
                <w:sz w:val="20"/>
                <w:szCs w:val="20"/>
              </w:rPr>
              <w:t>50,0</w:t>
            </w:r>
          </w:p>
        </w:tc>
        <w:tc>
          <w:tcPr>
            <w:tcW w:w="876" w:type="dxa"/>
          </w:tcPr>
          <w:p w:rsidR="00661B18" w:rsidRDefault="00661B18" w:rsidP="00661B18">
            <w:pPr>
              <w:jc w:val="right"/>
              <w:rPr>
                <w:rFonts w:ascii="Arial" w:hAnsi="Arial" w:cs="Arial"/>
                <w:sz w:val="20"/>
                <w:szCs w:val="20"/>
              </w:rPr>
            </w:pPr>
            <w:r>
              <w:rPr>
                <w:rFonts w:ascii="Arial" w:hAnsi="Arial" w:cs="Arial"/>
                <w:sz w:val="20"/>
                <w:szCs w:val="20"/>
              </w:rPr>
              <w:t>6 168</w:t>
            </w:r>
          </w:p>
          <w:p w:rsidR="00661B18" w:rsidRDefault="00F52524" w:rsidP="00661B18">
            <w:pPr>
              <w:jc w:val="right"/>
              <w:rPr>
                <w:rFonts w:ascii="Arial" w:hAnsi="Arial" w:cs="Arial"/>
                <w:sz w:val="20"/>
                <w:szCs w:val="20"/>
              </w:rPr>
            </w:pPr>
            <w:r>
              <w:rPr>
                <w:rFonts w:ascii="Arial" w:hAnsi="Arial" w:cs="Arial"/>
                <w:sz w:val="20"/>
                <w:szCs w:val="20"/>
              </w:rPr>
              <w:t>1 190</w:t>
            </w:r>
          </w:p>
          <w:p w:rsidR="00661B18" w:rsidRDefault="00F52524" w:rsidP="00661B18">
            <w:pPr>
              <w:jc w:val="right"/>
              <w:rPr>
                <w:rFonts w:ascii="Arial" w:hAnsi="Arial" w:cs="Arial"/>
                <w:sz w:val="20"/>
                <w:szCs w:val="20"/>
              </w:rPr>
            </w:pPr>
            <w:r>
              <w:rPr>
                <w:rFonts w:ascii="Arial" w:hAnsi="Arial" w:cs="Arial"/>
                <w:sz w:val="20"/>
                <w:szCs w:val="20"/>
              </w:rPr>
              <w:t>791</w:t>
            </w:r>
          </w:p>
          <w:p w:rsidR="00661B18" w:rsidRDefault="00F52524" w:rsidP="00661B18">
            <w:pPr>
              <w:jc w:val="right"/>
              <w:rPr>
                <w:rFonts w:ascii="Arial" w:hAnsi="Arial" w:cs="Arial"/>
                <w:sz w:val="20"/>
                <w:szCs w:val="20"/>
              </w:rPr>
            </w:pPr>
            <w:r>
              <w:rPr>
                <w:rFonts w:ascii="Arial" w:hAnsi="Arial" w:cs="Arial"/>
                <w:sz w:val="20"/>
                <w:szCs w:val="20"/>
              </w:rPr>
              <w:t>1 043</w:t>
            </w:r>
          </w:p>
          <w:p w:rsidR="00661B18" w:rsidRPr="00661B18" w:rsidRDefault="00661B18" w:rsidP="00661B18">
            <w:pPr>
              <w:jc w:val="right"/>
              <w:rPr>
                <w:rFonts w:ascii="Arial" w:hAnsi="Arial" w:cs="Arial"/>
                <w:sz w:val="20"/>
                <w:szCs w:val="20"/>
              </w:rPr>
            </w:pPr>
            <w:r>
              <w:rPr>
                <w:rFonts w:ascii="Arial" w:hAnsi="Arial" w:cs="Arial"/>
                <w:sz w:val="20"/>
                <w:szCs w:val="20"/>
              </w:rPr>
              <w:t>75,8</w:t>
            </w:r>
          </w:p>
        </w:tc>
        <w:tc>
          <w:tcPr>
            <w:tcW w:w="877" w:type="dxa"/>
          </w:tcPr>
          <w:p w:rsidR="00661B18" w:rsidRDefault="00F52524" w:rsidP="00661B18">
            <w:pPr>
              <w:jc w:val="right"/>
              <w:rPr>
                <w:rFonts w:ascii="Arial" w:hAnsi="Arial" w:cs="Arial"/>
                <w:sz w:val="20"/>
                <w:szCs w:val="20"/>
              </w:rPr>
            </w:pPr>
            <w:r>
              <w:rPr>
                <w:rFonts w:ascii="Arial" w:hAnsi="Arial" w:cs="Arial"/>
                <w:sz w:val="20"/>
                <w:szCs w:val="20"/>
              </w:rPr>
              <w:t>5 659</w:t>
            </w:r>
          </w:p>
          <w:p w:rsidR="00661B18" w:rsidRDefault="00F52524" w:rsidP="00661B18">
            <w:pPr>
              <w:jc w:val="right"/>
              <w:rPr>
                <w:rFonts w:ascii="Arial" w:hAnsi="Arial" w:cs="Arial"/>
                <w:sz w:val="20"/>
                <w:szCs w:val="20"/>
              </w:rPr>
            </w:pPr>
            <w:r>
              <w:rPr>
                <w:rFonts w:ascii="Arial" w:hAnsi="Arial" w:cs="Arial"/>
                <w:sz w:val="20"/>
                <w:szCs w:val="20"/>
              </w:rPr>
              <w:t>1 565</w:t>
            </w:r>
          </w:p>
          <w:p w:rsidR="00661B18" w:rsidRDefault="00F52524" w:rsidP="00661B18">
            <w:pPr>
              <w:jc w:val="right"/>
              <w:rPr>
                <w:rFonts w:ascii="Arial" w:hAnsi="Arial" w:cs="Arial"/>
                <w:sz w:val="20"/>
                <w:szCs w:val="20"/>
              </w:rPr>
            </w:pPr>
            <w:r>
              <w:rPr>
                <w:rFonts w:ascii="Arial" w:hAnsi="Arial" w:cs="Arial"/>
                <w:sz w:val="20"/>
                <w:szCs w:val="20"/>
              </w:rPr>
              <w:t>1 085</w:t>
            </w:r>
          </w:p>
          <w:p w:rsidR="00661B18" w:rsidRDefault="00F52524" w:rsidP="00661B18">
            <w:pPr>
              <w:jc w:val="right"/>
              <w:rPr>
                <w:rFonts w:ascii="Arial" w:hAnsi="Arial" w:cs="Arial"/>
                <w:sz w:val="20"/>
                <w:szCs w:val="20"/>
              </w:rPr>
            </w:pPr>
            <w:r>
              <w:rPr>
                <w:rFonts w:ascii="Arial" w:hAnsi="Arial" w:cs="Arial"/>
                <w:sz w:val="20"/>
                <w:szCs w:val="20"/>
              </w:rPr>
              <w:t>1 831</w:t>
            </w:r>
          </w:p>
          <w:p w:rsidR="00661B18" w:rsidRPr="00661B18" w:rsidRDefault="00661B18" w:rsidP="00661B18">
            <w:pPr>
              <w:jc w:val="right"/>
              <w:rPr>
                <w:rFonts w:ascii="Arial" w:hAnsi="Arial" w:cs="Arial"/>
                <w:sz w:val="20"/>
                <w:szCs w:val="20"/>
              </w:rPr>
            </w:pPr>
            <w:r>
              <w:rPr>
                <w:rFonts w:ascii="Arial" w:hAnsi="Arial" w:cs="Arial"/>
                <w:sz w:val="20"/>
                <w:szCs w:val="20"/>
              </w:rPr>
              <w:t>59,3</w:t>
            </w:r>
          </w:p>
        </w:tc>
        <w:tc>
          <w:tcPr>
            <w:tcW w:w="877" w:type="dxa"/>
          </w:tcPr>
          <w:p w:rsidR="00661B18" w:rsidRDefault="00F52524" w:rsidP="00661B18">
            <w:pPr>
              <w:jc w:val="right"/>
              <w:rPr>
                <w:rFonts w:ascii="Arial" w:hAnsi="Arial" w:cs="Arial"/>
                <w:sz w:val="20"/>
                <w:szCs w:val="20"/>
              </w:rPr>
            </w:pPr>
            <w:r>
              <w:rPr>
                <w:rFonts w:ascii="Arial" w:hAnsi="Arial" w:cs="Arial"/>
                <w:sz w:val="20"/>
                <w:szCs w:val="20"/>
              </w:rPr>
              <w:t>5 628</w:t>
            </w:r>
          </w:p>
          <w:p w:rsidR="00661B18" w:rsidRDefault="00F52524" w:rsidP="00661B18">
            <w:pPr>
              <w:jc w:val="right"/>
              <w:rPr>
                <w:rFonts w:ascii="Arial" w:hAnsi="Arial" w:cs="Arial"/>
                <w:sz w:val="20"/>
                <w:szCs w:val="20"/>
              </w:rPr>
            </w:pPr>
            <w:r>
              <w:rPr>
                <w:rFonts w:ascii="Arial" w:hAnsi="Arial" w:cs="Arial"/>
                <w:sz w:val="20"/>
                <w:szCs w:val="20"/>
              </w:rPr>
              <w:t>1 446</w:t>
            </w:r>
          </w:p>
          <w:p w:rsidR="00661B18" w:rsidRDefault="00F52524" w:rsidP="00661B18">
            <w:pPr>
              <w:jc w:val="right"/>
              <w:rPr>
                <w:rFonts w:ascii="Arial" w:hAnsi="Arial" w:cs="Arial"/>
                <w:sz w:val="20"/>
                <w:szCs w:val="20"/>
              </w:rPr>
            </w:pPr>
            <w:r>
              <w:rPr>
                <w:rFonts w:ascii="Arial" w:hAnsi="Arial" w:cs="Arial"/>
                <w:sz w:val="20"/>
                <w:szCs w:val="20"/>
              </w:rPr>
              <w:t>1 210</w:t>
            </w:r>
          </w:p>
          <w:p w:rsidR="00661B18" w:rsidRDefault="00F52524" w:rsidP="00661B18">
            <w:pPr>
              <w:jc w:val="right"/>
              <w:rPr>
                <w:rFonts w:ascii="Arial" w:hAnsi="Arial" w:cs="Arial"/>
                <w:sz w:val="20"/>
                <w:szCs w:val="20"/>
              </w:rPr>
            </w:pPr>
            <w:r>
              <w:rPr>
                <w:rFonts w:ascii="Arial" w:hAnsi="Arial" w:cs="Arial"/>
                <w:sz w:val="20"/>
                <w:szCs w:val="20"/>
              </w:rPr>
              <w:t>1 741</w:t>
            </w:r>
          </w:p>
          <w:p w:rsidR="00661B18" w:rsidRPr="00661B18" w:rsidRDefault="00661B18" w:rsidP="00661B18">
            <w:pPr>
              <w:jc w:val="right"/>
              <w:rPr>
                <w:rFonts w:ascii="Arial" w:hAnsi="Arial" w:cs="Arial"/>
                <w:sz w:val="20"/>
                <w:szCs w:val="20"/>
              </w:rPr>
            </w:pPr>
            <w:r>
              <w:rPr>
                <w:rFonts w:ascii="Arial" w:hAnsi="Arial" w:cs="Arial"/>
                <w:sz w:val="20"/>
                <w:szCs w:val="20"/>
              </w:rPr>
              <w:t>69,5</w:t>
            </w:r>
          </w:p>
        </w:tc>
        <w:tc>
          <w:tcPr>
            <w:tcW w:w="877" w:type="dxa"/>
          </w:tcPr>
          <w:p w:rsidR="00661B18" w:rsidRDefault="00F52524" w:rsidP="00661B18">
            <w:pPr>
              <w:jc w:val="right"/>
              <w:rPr>
                <w:rFonts w:ascii="Arial" w:hAnsi="Arial" w:cs="Arial"/>
                <w:sz w:val="20"/>
                <w:szCs w:val="20"/>
              </w:rPr>
            </w:pPr>
            <w:r>
              <w:rPr>
                <w:rFonts w:ascii="Arial" w:hAnsi="Arial" w:cs="Arial"/>
                <w:sz w:val="20"/>
                <w:szCs w:val="20"/>
              </w:rPr>
              <w:t>5 130</w:t>
            </w:r>
          </w:p>
          <w:p w:rsidR="00661B18" w:rsidRDefault="00F52524" w:rsidP="00661B18">
            <w:pPr>
              <w:jc w:val="right"/>
              <w:rPr>
                <w:rFonts w:ascii="Arial" w:hAnsi="Arial" w:cs="Arial"/>
                <w:sz w:val="20"/>
                <w:szCs w:val="20"/>
              </w:rPr>
            </w:pPr>
            <w:r>
              <w:rPr>
                <w:rFonts w:ascii="Arial" w:hAnsi="Arial" w:cs="Arial"/>
                <w:sz w:val="20"/>
                <w:szCs w:val="20"/>
              </w:rPr>
              <w:t>1 155</w:t>
            </w:r>
          </w:p>
          <w:p w:rsidR="00661B18" w:rsidRDefault="00F52524" w:rsidP="00661B18">
            <w:pPr>
              <w:jc w:val="right"/>
              <w:rPr>
                <w:rFonts w:ascii="Arial" w:hAnsi="Arial" w:cs="Arial"/>
                <w:sz w:val="20"/>
                <w:szCs w:val="20"/>
              </w:rPr>
            </w:pPr>
            <w:r>
              <w:rPr>
                <w:rFonts w:ascii="Arial" w:hAnsi="Arial" w:cs="Arial"/>
                <w:sz w:val="20"/>
                <w:szCs w:val="20"/>
              </w:rPr>
              <w:t>790</w:t>
            </w:r>
          </w:p>
          <w:p w:rsidR="00661B18" w:rsidRDefault="00F52524" w:rsidP="00661B18">
            <w:pPr>
              <w:jc w:val="right"/>
              <w:rPr>
                <w:rFonts w:ascii="Arial" w:hAnsi="Arial" w:cs="Arial"/>
                <w:sz w:val="20"/>
                <w:szCs w:val="20"/>
              </w:rPr>
            </w:pPr>
            <w:r>
              <w:rPr>
                <w:rFonts w:ascii="Arial" w:hAnsi="Arial" w:cs="Arial"/>
                <w:sz w:val="20"/>
                <w:szCs w:val="20"/>
              </w:rPr>
              <w:t>1 170</w:t>
            </w:r>
          </w:p>
          <w:p w:rsidR="00661B18" w:rsidRPr="00661B18" w:rsidRDefault="00661B18" w:rsidP="00661B18">
            <w:pPr>
              <w:jc w:val="right"/>
              <w:rPr>
                <w:rFonts w:ascii="Arial" w:hAnsi="Arial" w:cs="Arial"/>
                <w:sz w:val="20"/>
                <w:szCs w:val="20"/>
              </w:rPr>
            </w:pPr>
            <w:r>
              <w:rPr>
                <w:rFonts w:ascii="Arial" w:hAnsi="Arial" w:cs="Arial"/>
                <w:sz w:val="20"/>
                <w:szCs w:val="20"/>
              </w:rPr>
              <w:t>67,5</w:t>
            </w:r>
          </w:p>
        </w:tc>
      </w:tr>
    </w:tbl>
    <w:p w:rsidR="00661B18" w:rsidRDefault="00661B18" w:rsidP="00661B18">
      <w:pPr>
        <w:spacing w:after="0"/>
        <w:jc w:val="both"/>
        <w:rPr>
          <w:rFonts w:ascii="Arial" w:hAnsi="Arial" w:cs="Arial"/>
          <w:sz w:val="24"/>
          <w:szCs w:val="24"/>
        </w:rPr>
      </w:pPr>
    </w:p>
    <w:p w:rsidR="00015746" w:rsidRDefault="00F52524" w:rsidP="00DC7898">
      <w:pPr>
        <w:spacing w:after="0"/>
        <w:jc w:val="both"/>
        <w:rPr>
          <w:rFonts w:ascii="Arial" w:hAnsi="Arial" w:cs="Arial"/>
          <w:sz w:val="24"/>
          <w:szCs w:val="24"/>
        </w:rPr>
      </w:pPr>
      <w:r>
        <w:rPr>
          <w:rFonts w:ascii="Arial" w:hAnsi="Arial" w:cs="Arial"/>
          <w:sz w:val="24"/>
          <w:szCs w:val="24"/>
        </w:rPr>
        <w:t xml:space="preserve">Ces données sont intéressantes, car elles montrent ce sur quoi se focalisent les gazettes financières, et ce qu’elles omettent. Elles se focalisent sur les excellents résultats du groupe Chanel. Elles omettent la faiblesse des fonds propres suite aux distributions constantes et importantes de dividendes. Le groupe Chanel n’accumule pas son capital ; d’où les taux de profits sans rapport avec les taux moyens de profit des sociétés spécialisées dans le luxe (13 à 17% selon les années entre 2006 et 2016 – voir notre prochain ouvrage). </w:t>
      </w:r>
    </w:p>
    <w:p w:rsidR="00015746" w:rsidRDefault="00015746" w:rsidP="00DC7898">
      <w:pPr>
        <w:spacing w:after="0"/>
        <w:jc w:val="both"/>
        <w:rPr>
          <w:rFonts w:ascii="Arial" w:hAnsi="Arial" w:cs="Arial"/>
          <w:sz w:val="24"/>
          <w:szCs w:val="24"/>
        </w:rPr>
      </w:pPr>
    </w:p>
    <w:p w:rsidR="00015746" w:rsidRDefault="0069225E" w:rsidP="00DC7898">
      <w:pPr>
        <w:spacing w:after="0"/>
        <w:jc w:val="both"/>
        <w:rPr>
          <w:rFonts w:ascii="Arial" w:hAnsi="Arial" w:cs="Arial"/>
          <w:sz w:val="24"/>
          <w:szCs w:val="24"/>
        </w:rPr>
      </w:pPr>
      <w:r>
        <w:rPr>
          <w:rFonts w:ascii="Arial" w:hAnsi="Arial" w:cs="Arial"/>
          <w:sz w:val="24"/>
          <w:szCs w:val="24"/>
        </w:rPr>
        <w:object w:dxaOrig="16215" w:dyaOrig="3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92.25pt" o:ole="">
            <v:imagedata r:id="rId4" o:title=""/>
          </v:shape>
          <o:OLEObject Type="Embed" ProgID="QuattroPro.Notebook.18" ShapeID="_x0000_i1025" DrawAspect="Content" ObjectID="_1591442311" r:id="rId5"/>
        </w:object>
      </w:r>
    </w:p>
    <w:p w:rsidR="00015746" w:rsidRDefault="00015746" w:rsidP="00DC7898">
      <w:pPr>
        <w:spacing w:after="0"/>
        <w:jc w:val="both"/>
        <w:rPr>
          <w:rFonts w:ascii="Arial" w:hAnsi="Arial" w:cs="Arial"/>
          <w:sz w:val="24"/>
          <w:szCs w:val="24"/>
        </w:rPr>
      </w:pPr>
    </w:p>
    <w:p w:rsidR="00015746" w:rsidRDefault="00015746" w:rsidP="00DC7898">
      <w:pPr>
        <w:spacing w:after="0"/>
        <w:jc w:val="both"/>
        <w:rPr>
          <w:rFonts w:ascii="Arial" w:hAnsi="Arial" w:cs="Arial"/>
          <w:sz w:val="24"/>
          <w:szCs w:val="24"/>
        </w:rPr>
      </w:pPr>
      <w:r>
        <w:rPr>
          <w:rFonts w:ascii="Arial" w:hAnsi="Arial" w:cs="Arial"/>
          <w:sz w:val="24"/>
          <w:szCs w:val="24"/>
        </w:rPr>
        <w:t>La folie n’a plus de limites, comme le montre le cas d’Amazon !</w:t>
      </w:r>
      <w:r w:rsidR="0069225E">
        <w:rPr>
          <w:rFonts w:ascii="Arial" w:hAnsi="Arial" w:cs="Arial"/>
          <w:sz w:val="24"/>
          <w:szCs w:val="24"/>
        </w:rPr>
        <w:t xml:space="preserve"> Les boursiers créent actuellement des « bulles », notamment dans tout ce qui a trait à la « connectivité ».</w:t>
      </w:r>
    </w:p>
    <w:p w:rsidR="00DC7898" w:rsidRDefault="00015746" w:rsidP="00DC7898">
      <w:pPr>
        <w:spacing w:after="0"/>
        <w:jc w:val="both"/>
        <w:rPr>
          <w:rFonts w:ascii="Arial" w:hAnsi="Arial" w:cs="Arial"/>
          <w:sz w:val="24"/>
          <w:szCs w:val="24"/>
        </w:rPr>
      </w:pPr>
      <w:r>
        <w:rPr>
          <w:rFonts w:ascii="Arial" w:hAnsi="Arial" w:cs="Arial"/>
          <w:sz w:val="24"/>
          <w:szCs w:val="24"/>
        </w:rPr>
        <w:lastRenderedPageBreak/>
        <w:t>S’agissant de Chanel, l</w:t>
      </w:r>
      <w:r w:rsidR="00F52524">
        <w:rPr>
          <w:rFonts w:ascii="Arial" w:hAnsi="Arial" w:cs="Arial"/>
          <w:sz w:val="24"/>
          <w:szCs w:val="24"/>
        </w:rPr>
        <w:t xml:space="preserve">es frères Wertheimer agissent </w:t>
      </w:r>
      <w:r w:rsidR="008F753F">
        <w:rPr>
          <w:rFonts w:ascii="Arial" w:hAnsi="Arial" w:cs="Arial"/>
          <w:sz w:val="24"/>
          <w:szCs w:val="24"/>
        </w:rPr>
        <w:t>par contre</w:t>
      </w:r>
      <w:r w:rsidR="00F52524">
        <w:rPr>
          <w:rFonts w:ascii="Arial" w:hAnsi="Arial" w:cs="Arial"/>
          <w:sz w:val="24"/>
          <w:szCs w:val="24"/>
        </w:rPr>
        <w:t xml:space="preserve"> en rentiers. Et exploitent à fond l’image de la marque.</w:t>
      </w:r>
    </w:p>
    <w:p w:rsidR="00F52524" w:rsidRDefault="00F52524" w:rsidP="00DC7898">
      <w:pPr>
        <w:spacing w:after="0"/>
        <w:jc w:val="both"/>
        <w:rPr>
          <w:rFonts w:ascii="Arial" w:hAnsi="Arial" w:cs="Arial"/>
          <w:sz w:val="24"/>
          <w:szCs w:val="24"/>
        </w:rPr>
      </w:pPr>
      <w:r>
        <w:rPr>
          <w:rFonts w:ascii="Arial" w:hAnsi="Arial" w:cs="Arial"/>
          <w:sz w:val="24"/>
          <w:szCs w:val="24"/>
        </w:rPr>
        <w:t xml:space="preserve">Cette marque n’est d’ailleurs pas aussi valorisée qu’on veut bien le dire. Ainsi, la valorisation </w:t>
      </w:r>
      <w:r w:rsidR="00A005FB">
        <w:rPr>
          <w:rFonts w:ascii="Arial" w:hAnsi="Arial" w:cs="Arial"/>
          <w:sz w:val="24"/>
          <w:szCs w:val="24"/>
        </w:rPr>
        <w:t xml:space="preserve">des marques </w:t>
      </w:r>
      <w:r>
        <w:rPr>
          <w:rFonts w:ascii="Arial" w:hAnsi="Arial" w:cs="Arial"/>
          <w:sz w:val="24"/>
          <w:szCs w:val="24"/>
        </w:rPr>
        <w:t xml:space="preserve">réalisée par </w:t>
      </w:r>
      <w:proofErr w:type="spellStart"/>
      <w:r>
        <w:rPr>
          <w:rFonts w:ascii="Arial" w:hAnsi="Arial" w:cs="Arial"/>
          <w:sz w:val="24"/>
          <w:szCs w:val="24"/>
        </w:rPr>
        <w:t>Millward</w:t>
      </w:r>
      <w:proofErr w:type="spellEnd"/>
      <w:r>
        <w:rPr>
          <w:rFonts w:ascii="Arial" w:hAnsi="Arial" w:cs="Arial"/>
          <w:sz w:val="24"/>
          <w:szCs w:val="24"/>
        </w:rPr>
        <w:t xml:space="preserve"> </w:t>
      </w:r>
      <w:r w:rsidR="00A005FB">
        <w:rPr>
          <w:rFonts w:ascii="Arial" w:hAnsi="Arial" w:cs="Arial"/>
          <w:sz w:val="24"/>
          <w:szCs w:val="24"/>
        </w:rPr>
        <w:t>Brown donne pour Chanel 10 316 M US $ en 2016, contre 28 508 pour Louis Vuitton, 19 821 pour Hermès et 12 592 pour Gucci.</w:t>
      </w:r>
    </w:p>
    <w:p w:rsidR="00A005FB" w:rsidRDefault="00A005FB" w:rsidP="00DC7898">
      <w:pPr>
        <w:spacing w:after="0"/>
        <w:jc w:val="both"/>
        <w:rPr>
          <w:rFonts w:ascii="Arial" w:hAnsi="Arial" w:cs="Arial"/>
          <w:sz w:val="24"/>
          <w:szCs w:val="24"/>
        </w:rPr>
      </w:pPr>
      <w:r>
        <w:rPr>
          <w:rFonts w:ascii="Arial" w:hAnsi="Arial" w:cs="Arial"/>
          <w:sz w:val="24"/>
          <w:szCs w:val="24"/>
        </w:rPr>
        <w:t>Rappelons qu’en 2016 la folie boursière n’avait pas encore atteint l’industrie du luxe, malgré des multiplicateurs de performances déjà élevés.</w:t>
      </w:r>
    </w:p>
    <w:p w:rsidR="00DC7898" w:rsidRDefault="00DC7898" w:rsidP="00DC7898">
      <w:pPr>
        <w:spacing w:after="0"/>
        <w:jc w:val="both"/>
        <w:rPr>
          <w:rFonts w:ascii="Arial" w:hAnsi="Arial" w:cs="Arial"/>
          <w:sz w:val="24"/>
          <w:szCs w:val="24"/>
        </w:rPr>
      </w:pPr>
    </w:p>
    <w:p w:rsidR="00F52524" w:rsidRDefault="00B83808" w:rsidP="00DC7898">
      <w:pPr>
        <w:spacing w:after="0"/>
        <w:jc w:val="both"/>
        <w:rPr>
          <w:rFonts w:ascii="Arial" w:hAnsi="Arial" w:cs="Arial"/>
          <w:sz w:val="24"/>
          <w:szCs w:val="24"/>
        </w:rPr>
      </w:pPr>
      <w:r>
        <w:rPr>
          <w:rFonts w:ascii="Arial" w:hAnsi="Arial" w:cs="Arial"/>
          <w:sz w:val="24"/>
          <w:szCs w:val="24"/>
        </w:rPr>
        <w:t xml:space="preserve">Il faut donc comparer </w:t>
      </w:r>
      <w:r w:rsidR="008F753F">
        <w:rPr>
          <w:rFonts w:ascii="Arial" w:hAnsi="Arial" w:cs="Arial"/>
          <w:sz w:val="24"/>
          <w:szCs w:val="24"/>
        </w:rPr>
        <w:t xml:space="preserve">les multiples de Chanel avec ceux de LVMH, Kering et Hermès. </w:t>
      </w:r>
    </w:p>
    <w:p w:rsidR="00F52524" w:rsidRDefault="00F52524" w:rsidP="00DC7898">
      <w:pPr>
        <w:spacing w:after="0"/>
        <w:jc w:val="both"/>
        <w:rPr>
          <w:rFonts w:ascii="Arial" w:hAnsi="Arial" w:cs="Arial"/>
          <w:sz w:val="24"/>
          <w:szCs w:val="24"/>
        </w:rPr>
      </w:pPr>
    </w:p>
    <w:tbl>
      <w:tblPr>
        <w:tblStyle w:val="Grilledutableau"/>
        <w:tblW w:w="0" w:type="auto"/>
        <w:tblLook w:val="04A0" w:firstRow="1" w:lastRow="0" w:firstColumn="1" w:lastColumn="0" w:noHBand="0" w:noVBand="1"/>
      </w:tblPr>
      <w:tblGrid>
        <w:gridCol w:w="2102"/>
        <w:gridCol w:w="878"/>
        <w:gridCol w:w="878"/>
        <w:gridCol w:w="833"/>
        <w:gridCol w:w="833"/>
        <w:gridCol w:w="992"/>
        <w:gridCol w:w="992"/>
        <w:gridCol w:w="777"/>
        <w:gridCol w:w="777"/>
      </w:tblGrid>
      <w:tr w:rsidR="008F753F" w:rsidTr="009B5B11">
        <w:tc>
          <w:tcPr>
            <w:tcW w:w="2102" w:type="dxa"/>
            <w:vMerge w:val="restart"/>
          </w:tcPr>
          <w:p w:rsidR="008F753F" w:rsidRPr="008F753F" w:rsidRDefault="008F753F" w:rsidP="00DC7898">
            <w:pPr>
              <w:jc w:val="both"/>
              <w:rPr>
                <w:rFonts w:ascii="Arial" w:hAnsi="Arial" w:cs="Arial"/>
                <w:sz w:val="18"/>
                <w:szCs w:val="18"/>
              </w:rPr>
            </w:pPr>
          </w:p>
        </w:tc>
        <w:tc>
          <w:tcPr>
            <w:tcW w:w="1756" w:type="dxa"/>
            <w:gridSpan w:val="2"/>
          </w:tcPr>
          <w:p w:rsidR="008F753F" w:rsidRPr="008F753F" w:rsidRDefault="008F753F" w:rsidP="008F753F">
            <w:pPr>
              <w:jc w:val="center"/>
              <w:rPr>
                <w:rFonts w:ascii="Arial" w:hAnsi="Arial" w:cs="Arial"/>
                <w:sz w:val="18"/>
                <w:szCs w:val="18"/>
              </w:rPr>
            </w:pPr>
            <w:r>
              <w:rPr>
                <w:rFonts w:ascii="Arial" w:hAnsi="Arial" w:cs="Arial"/>
                <w:sz w:val="18"/>
                <w:szCs w:val="18"/>
              </w:rPr>
              <w:t>Fonds propres</w:t>
            </w:r>
          </w:p>
        </w:tc>
        <w:tc>
          <w:tcPr>
            <w:tcW w:w="1666" w:type="dxa"/>
            <w:gridSpan w:val="2"/>
          </w:tcPr>
          <w:p w:rsidR="008F753F" w:rsidRPr="008F753F" w:rsidRDefault="008F753F" w:rsidP="008F753F">
            <w:pPr>
              <w:jc w:val="center"/>
              <w:rPr>
                <w:rFonts w:ascii="Arial" w:hAnsi="Arial" w:cs="Arial"/>
                <w:sz w:val="18"/>
                <w:szCs w:val="18"/>
              </w:rPr>
            </w:pPr>
            <w:r>
              <w:rPr>
                <w:rFonts w:ascii="Arial" w:hAnsi="Arial" w:cs="Arial"/>
                <w:sz w:val="18"/>
                <w:szCs w:val="18"/>
              </w:rPr>
              <w:t>Chiffre d’affaires</w:t>
            </w:r>
          </w:p>
        </w:tc>
        <w:tc>
          <w:tcPr>
            <w:tcW w:w="1984" w:type="dxa"/>
            <w:gridSpan w:val="2"/>
          </w:tcPr>
          <w:p w:rsidR="008F753F" w:rsidRPr="008F753F" w:rsidRDefault="008F753F" w:rsidP="008F753F">
            <w:pPr>
              <w:jc w:val="center"/>
              <w:rPr>
                <w:rFonts w:ascii="Arial" w:hAnsi="Arial" w:cs="Arial"/>
                <w:sz w:val="18"/>
                <w:szCs w:val="18"/>
              </w:rPr>
            </w:pPr>
            <w:r>
              <w:rPr>
                <w:rFonts w:ascii="Arial" w:hAnsi="Arial" w:cs="Arial"/>
                <w:sz w:val="18"/>
                <w:szCs w:val="18"/>
              </w:rPr>
              <w:t>Résultat Opérationnel</w:t>
            </w:r>
          </w:p>
        </w:tc>
        <w:tc>
          <w:tcPr>
            <w:tcW w:w="1554" w:type="dxa"/>
            <w:gridSpan w:val="2"/>
          </w:tcPr>
          <w:p w:rsidR="008F753F" w:rsidRPr="008F753F" w:rsidRDefault="008F753F" w:rsidP="008F753F">
            <w:pPr>
              <w:jc w:val="center"/>
              <w:rPr>
                <w:rFonts w:ascii="Arial" w:hAnsi="Arial" w:cs="Arial"/>
                <w:sz w:val="18"/>
                <w:szCs w:val="18"/>
              </w:rPr>
            </w:pPr>
            <w:r>
              <w:rPr>
                <w:rFonts w:ascii="Arial" w:hAnsi="Arial" w:cs="Arial"/>
                <w:sz w:val="18"/>
                <w:szCs w:val="18"/>
              </w:rPr>
              <w:t>Résultat net</w:t>
            </w:r>
          </w:p>
        </w:tc>
      </w:tr>
      <w:tr w:rsidR="008F753F" w:rsidTr="009B5B11">
        <w:tc>
          <w:tcPr>
            <w:tcW w:w="2102" w:type="dxa"/>
            <w:vMerge/>
          </w:tcPr>
          <w:p w:rsidR="008F753F" w:rsidRPr="008F753F" w:rsidRDefault="008F753F" w:rsidP="00DC7898">
            <w:pPr>
              <w:jc w:val="both"/>
              <w:rPr>
                <w:rFonts w:ascii="Arial" w:hAnsi="Arial" w:cs="Arial"/>
                <w:sz w:val="18"/>
                <w:szCs w:val="18"/>
              </w:rPr>
            </w:pPr>
          </w:p>
        </w:tc>
        <w:tc>
          <w:tcPr>
            <w:tcW w:w="878" w:type="dxa"/>
          </w:tcPr>
          <w:p w:rsidR="008F753F" w:rsidRPr="008F753F" w:rsidRDefault="008F753F" w:rsidP="008F753F">
            <w:pPr>
              <w:jc w:val="center"/>
              <w:rPr>
                <w:rFonts w:ascii="Arial" w:hAnsi="Arial" w:cs="Arial"/>
                <w:sz w:val="18"/>
                <w:szCs w:val="18"/>
              </w:rPr>
            </w:pPr>
            <w:r>
              <w:rPr>
                <w:rFonts w:ascii="Arial" w:hAnsi="Arial" w:cs="Arial"/>
                <w:sz w:val="18"/>
                <w:szCs w:val="18"/>
              </w:rPr>
              <w:t>2016</w:t>
            </w:r>
          </w:p>
        </w:tc>
        <w:tc>
          <w:tcPr>
            <w:tcW w:w="878" w:type="dxa"/>
          </w:tcPr>
          <w:p w:rsidR="008F753F" w:rsidRPr="008F753F" w:rsidRDefault="008F753F" w:rsidP="008F753F">
            <w:pPr>
              <w:jc w:val="center"/>
              <w:rPr>
                <w:rFonts w:ascii="Arial" w:hAnsi="Arial" w:cs="Arial"/>
                <w:sz w:val="18"/>
                <w:szCs w:val="18"/>
              </w:rPr>
            </w:pPr>
            <w:r>
              <w:rPr>
                <w:rFonts w:ascii="Arial" w:hAnsi="Arial" w:cs="Arial"/>
                <w:sz w:val="18"/>
                <w:szCs w:val="18"/>
              </w:rPr>
              <w:t>2017</w:t>
            </w:r>
          </w:p>
        </w:tc>
        <w:tc>
          <w:tcPr>
            <w:tcW w:w="833" w:type="dxa"/>
          </w:tcPr>
          <w:p w:rsidR="008F753F" w:rsidRPr="008F753F" w:rsidRDefault="008F753F" w:rsidP="008F753F">
            <w:pPr>
              <w:jc w:val="center"/>
              <w:rPr>
                <w:rFonts w:ascii="Arial" w:hAnsi="Arial" w:cs="Arial"/>
                <w:sz w:val="18"/>
                <w:szCs w:val="18"/>
              </w:rPr>
            </w:pPr>
            <w:r>
              <w:rPr>
                <w:rFonts w:ascii="Arial" w:hAnsi="Arial" w:cs="Arial"/>
                <w:sz w:val="18"/>
                <w:szCs w:val="18"/>
              </w:rPr>
              <w:t>2016</w:t>
            </w:r>
          </w:p>
        </w:tc>
        <w:tc>
          <w:tcPr>
            <w:tcW w:w="833" w:type="dxa"/>
          </w:tcPr>
          <w:p w:rsidR="008F753F" w:rsidRPr="008F753F" w:rsidRDefault="008F753F" w:rsidP="008F753F">
            <w:pPr>
              <w:jc w:val="center"/>
              <w:rPr>
                <w:rFonts w:ascii="Arial" w:hAnsi="Arial" w:cs="Arial"/>
                <w:sz w:val="18"/>
                <w:szCs w:val="18"/>
              </w:rPr>
            </w:pPr>
            <w:r>
              <w:rPr>
                <w:rFonts w:ascii="Arial" w:hAnsi="Arial" w:cs="Arial"/>
                <w:sz w:val="18"/>
                <w:szCs w:val="18"/>
              </w:rPr>
              <w:t>2017</w:t>
            </w:r>
          </w:p>
        </w:tc>
        <w:tc>
          <w:tcPr>
            <w:tcW w:w="992" w:type="dxa"/>
          </w:tcPr>
          <w:p w:rsidR="008F753F" w:rsidRPr="008F753F" w:rsidRDefault="008F753F" w:rsidP="008F753F">
            <w:pPr>
              <w:jc w:val="center"/>
              <w:rPr>
                <w:rFonts w:ascii="Arial" w:hAnsi="Arial" w:cs="Arial"/>
                <w:sz w:val="18"/>
                <w:szCs w:val="18"/>
              </w:rPr>
            </w:pPr>
            <w:r>
              <w:rPr>
                <w:rFonts w:ascii="Arial" w:hAnsi="Arial" w:cs="Arial"/>
                <w:sz w:val="18"/>
                <w:szCs w:val="18"/>
              </w:rPr>
              <w:t>2016</w:t>
            </w:r>
          </w:p>
        </w:tc>
        <w:tc>
          <w:tcPr>
            <w:tcW w:w="992" w:type="dxa"/>
          </w:tcPr>
          <w:p w:rsidR="008F753F" w:rsidRPr="008F753F" w:rsidRDefault="008F753F" w:rsidP="008F753F">
            <w:pPr>
              <w:jc w:val="center"/>
              <w:rPr>
                <w:rFonts w:ascii="Arial" w:hAnsi="Arial" w:cs="Arial"/>
                <w:sz w:val="18"/>
                <w:szCs w:val="18"/>
              </w:rPr>
            </w:pPr>
            <w:r>
              <w:rPr>
                <w:rFonts w:ascii="Arial" w:hAnsi="Arial" w:cs="Arial"/>
                <w:sz w:val="18"/>
                <w:szCs w:val="18"/>
              </w:rPr>
              <w:t>2017</w:t>
            </w:r>
          </w:p>
        </w:tc>
        <w:tc>
          <w:tcPr>
            <w:tcW w:w="777" w:type="dxa"/>
          </w:tcPr>
          <w:p w:rsidR="008F753F" w:rsidRPr="008F753F" w:rsidRDefault="008F753F" w:rsidP="008F753F">
            <w:pPr>
              <w:jc w:val="center"/>
              <w:rPr>
                <w:rFonts w:ascii="Arial" w:hAnsi="Arial" w:cs="Arial"/>
                <w:sz w:val="18"/>
                <w:szCs w:val="18"/>
              </w:rPr>
            </w:pPr>
            <w:r>
              <w:rPr>
                <w:rFonts w:ascii="Arial" w:hAnsi="Arial" w:cs="Arial"/>
                <w:sz w:val="18"/>
                <w:szCs w:val="18"/>
              </w:rPr>
              <w:t>2016</w:t>
            </w:r>
          </w:p>
        </w:tc>
        <w:tc>
          <w:tcPr>
            <w:tcW w:w="777" w:type="dxa"/>
          </w:tcPr>
          <w:p w:rsidR="008F753F" w:rsidRPr="008F753F" w:rsidRDefault="008F753F" w:rsidP="008F753F">
            <w:pPr>
              <w:jc w:val="center"/>
              <w:rPr>
                <w:rFonts w:ascii="Arial" w:hAnsi="Arial" w:cs="Arial"/>
                <w:sz w:val="18"/>
                <w:szCs w:val="18"/>
              </w:rPr>
            </w:pPr>
            <w:r>
              <w:rPr>
                <w:rFonts w:ascii="Arial" w:hAnsi="Arial" w:cs="Arial"/>
                <w:sz w:val="18"/>
                <w:szCs w:val="18"/>
              </w:rPr>
              <w:t>2017</w:t>
            </w:r>
          </w:p>
        </w:tc>
      </w:tr>
      <w:tr w:rsidR="009B5B11" w:rsidTr="009B5B11">
        <w:tc>
          <w:tcPr>
            <w:tcW w:w="2102" w:type="dxa"/>
          </w:tcPr>
          <w:p w:rsidR="008F753F" w:rsidRDefault="008F753F" w:rsidP="00DC7898">
            <w:pPr>
              <w:jc w:val="both"/>
              <w:rPr>
                <w:rFonts w:ascii="Arial" w:hAnsi="Arial" w:cs="Arial"/>
                <w:sz w:val="18"/>
                <w:szCs w:val="18"/>
              </w:rPr>
            </w:pPr>
            <w:r>
              <w:rPr>
                <w:rFonts w:ascii="Arial" w:hAnsi="Arial" w:cs="Arial"/>
                <w:sz w:val="18"/>
                <w:szCs w:val="18"/>
              </w:rPr>
              <w:t>Données en Mds € :</w:t>
            </w:r>
          </w:p>
          <w:p w:rsidR="008F753F" w:rsidRDefault="008F753F" w:rsidP="00DC7898">
            <w:pPr>
              <w:jc w:val="both"/>
              <w:rPr>
                <w:rFonts w:ascii="Arial" w:hAnsi="Arial" w:cs="Arial"/>
                <w:sz w:val="18"/>
                <w:szCs w:val="18"/>
              </w:rPr>
            </w:pPr>
            <w:r>
              <w:rPr>
                <w:rFonts w:ascii="Arial" w:hAnsi="Arial" w:cs="Arial"/>
                <w:sz w:val="18"/>
                <w:szCs w:val="18"/>
              </w:rPr>
              <w:t>LVMH</w:t>
            </w:r>
          </w:p>
          <w:p w:rsidR="008F753F" w:rsidRDefault="008F753F" w:rsidP="00DC7898">
            <w:pPr>
              <w:jc w:val="both"/>
              <w:rPr>
                <w:rFonts w:ascii="Arial" w:hAnsi="Arial" w:cs="Arial"/>
                <w:sz w:val="18"/>
                <w:szCs w:val="18"/>
              </w:rPr>
            </w:pPr>
            <w:r>
              <w:rPr>
                <w:rFonts w:ascii="Arial" w:hAnsi="Arial" w:cs="Arial"/>
                <w:sz w:val="18"/>
                <w:szCs w:val="18"/>
              </w:rPr>
              <w:t>Kering</w:t>
            </w:r>
          </w:p>
          <w:p w:rsidR="008F753F" w:rsidRDefault="008F753F" w:rsidP="00DC7898">
            <w:pPr>
              <w:jc w:val="both"/>
              <w:rPr>
                <w:rFonts w:ascii="Arial" w:hAnsi="Arial" w:cs="Arial"/>
                <w:sz w:val="18"/>
                <w:szCs w:val="18"/>
              </w:rPr>
            </w:pPr>
            <w:r>
              <w:rPr>
                <w:rFonts w:ascii="Arial" w:hAnsi="Arial" w:cs="Arial"/>
                <w:sz w:val="18"/>
                <w:szCs w:val="18"/>
              </w:rPr>
              <w:t>Hermès</w:t>
            </w:r>
          </w:p>
          <w:p w:rsidR="008F753F" w:rsidRPr="008F753F" w:rsidRDefault="008F753F" w:rsidP="00DC7898">
            <w:pPr>
              <w:jc w:val="both"/>
              <w:rPr>
                <w:rFonts w:ascii="Arial" w:hAnsi="Arial" w:cs="Arial"/>
                <w:sz w:val="18"/>
                <w:szCs w:val="18"/>
              </w:rPr>
            </w:pPr>
            <w:r>
              <w:rPr>
                <w:rFonts w:ascii="Arial" w:hAnsi="Arial" w:cs="Arial"/>
                <w:sz w:val="18"/>
                <w:szCs w:val="18"/>
              </w:rPr>
              <w:t>Chanel</w:t>
            </w:r>
          </w:p>
        </w:tc>
        <w:tc>
          <w:tcPr>
            <w:tcW w:w="878" w:type="dxa"/>
          </w:tcPr>
          <w:p w:rsidR="008F753F" w:rsidRDefault="008F753F" w:rsidP="008F753F">
            <w:pPr>
              <w:jc w:val="right"/>
              <w:rPr>
                <w:rFonts w:ascii="Arial" w:hAnsi="Arial" w:cs="Arial"/>
                <w:sz w:val="18"/>
                <w:szCs w:val="18"/>
              </w:rPr>
            </w:pPr>
          </w:p>
          <w:p w:rsidR="009B5B11" w:rsidRDefault="009B5B11" w:rsidP="008F753F">
            <w:pPr>
              <w:jc w:val="right"/>
              <w:rPr>
                <w:rFonts w:ascii="Arial" w:hAnsi="Arial" w:cs="Arial"/>
                <w:sz w:val="18"/>
                <w:szCs w:val="18"/>
              </w:rPr>
            </w:pPr>
            <w:r>
              <w:rPr>
                <w:rFonts w:ascii="Arial" w:hAnsi="Arial" w:cs="Arial"/>
                <w:sz w:val="18"/>
                <w:szCs w:val="18"/>
              </w:rPr>
              <w:t>27,90</w:t>
            </w:r>
          </w:p>
          <w:p w:rsidR="009B5B11" w:rsidRDefault="009B5B11" w:rsidP="008F753F">
            <w:pPr>
              <w:jc w:val="right"/>
              <w:rPr>
                <w:rFonts w:ascii="Arial" w:hAnsi="Arial" w:cs="Arial"/>
                <w:sz w:val="18"/>
                <w:szCs w:val="18"/>
              </w:rPr>
            </w:pPr>
            <w:r>
              <w:rPr>
                <w:rFonts w:ascii="Arial" w:hAnsi="Arial" w:cs="Arial"/>
                <w:sz w:val="18"/>
                <w:szCs w:val="18"/>
              </w:rPr>
              <w:t>11,96</w:t>
            </w:r>
          </w:p>
          <w:p w:rsidR="009B5B11" w:rsidRDefault="009B5B11" w:rsidP="008F753F">
            <w:pPr>
              <w:jc w:val="right"/>
              <w:rPr>
                <w:rFonts w:ascii="Arial" w:hAnsi="Arial" w:cs="Arial"/>
                <w:sz w:val="18"/>
                <w:szCs w:val="18"/>
              </w:rPr>
            </w:pPr>
            <w:r>
              <w:rPr>
                <w:rFonts w:ascii="Arial" w:hAnsi="Arial" w:cs="Arial"/>
                <w:sz w:val="18"/>
                <w:szCs w:val="18"/>
              </w:rPr>
              <w:t>4,39</w:t>
            </w:r>
          </w:p>
          <w:p w:rsidR="009B5B11" w:rsidRPr="008F753F" w:rsidRDefault="009B5B11" w:rsidP="008F753F">
            <w:pPr>
              <w:jc w:val="right"/>
              <w:rPr>
                <w:rFonts w:ascii="Arial" w:hAnsi="Arial" w:cs="Arial"/>
                <w:sz w:val="18"/>
                <w:szCs w:val="18"/>
              </w:rPr>
            </w:pPr>
            <w:r>
              <w:rPr>
                <w:rFonts w:ascii="Arial" w:hAnsi="Arial" w:cs="Arial"/>
                <w:sz w:val="18"/>
                <w:szCs w:val="18"/>
              </w:rPr>
              <w:t>1,17</w:t>
            </w:r>
          </w:p>
        </w:tc>
        <w:tc>
          <w:tcPr>
            <w:tcW w:w="878" w:type="dxa"/>
          </w:tcPr>
          <w:p w:rsidR="008F753F" w:rsidRDefault="008F753F" w:rsidP="008F753F">
            <w:pPr>
              <w:jc w:val="right"/>
              <w:rPr>
                <w:rFonts w:ascii="Arial" w:hAnsi="Arial" w:cs="Arial"/>
                <w:sz w:val="18"/>
                <w:szCs w:val="18"/>
              </w:rPr>
            </w:pPr>
          </w:p>
          <w:p w:rsidR="009B5B11" w:rsidRDefault="009B5B11" w:rsidP="008F753F">
            <w:pPr>
              <w:jc w:val="right"/>
              <w:rPr>
                <w:rFonts w:ascii="Arial" w:hAnsi="Arial" w:cs="Arial"/>
                <w:sz w:val="18"/>
                <w:szCs w:val="18"/>
              </w:rPr>
            </w:pPr>
            <w:r>
              <w:rPr>
                <w:rFonts w:ascii="Arial" w:hAnsi="Arial" w:cs="Arial"/>
                <w:sz w:val="18"/>
                <w:szCs w:val="18"/>
              </w:rPr>
              <w:t>30,26</w:t>
            </w:r>
          </w:p>
          <w:p w:rsidR="009B5B11" w:rsidRDefault="009B5B11" w:rsidP="008F753F">
            <w:pPr>
              <w:jc w:val="right"/>
              <w:rPr>
                <w:rFonts w:ascii="Arial" w:hAnsi="Arial" w:cs="Arial"/>
                <w:sz w:val="18"/>
                <w:szCs w:val="18"/>
              </w:rPr>
            </w:pPr>
            <w:r>
              <w:rPr>
                <w:rFonts w:ascii="Arial" w:hAnsi="Arial" w:cs="Arial"/>
                <w:sz w:val="18"/>
                <w:szCs w:val="18"/>
              </w:rPr>
              <w:t>12,62</w:t>
            </w:r>
          </w:p>
          <w:p w:rsidR="009B5B11" w:rsidRDefault="009B5B11" w:rsidP="008F753F">
            <w:pPr>
              <w:jc w:val="right"/>
              <w:rPr>
                <w:rFonts w:ascii="Arial" w:hAnsi="Arial" w:cs="Arial"/>
                <w:sz w:val="18"/>
                <w:szCs w:val="18"/>
              </w:rPr>
            </w:pPr>
            <w:r>
              <w:rPr>
                <w:rFonts w:ascii="Arial" w:hAnsi="Arial" w:cs="Arial"/>
                <w:sz w:val="18"/>
                <w:szCs w:val="18"/>
              </w:rPr>
              <w:t>5,05</w:t>
            </w:r>
          </w:p>
          <w:p w:rsidR="009B5B11" w:rsidRPr="008F753F" w:rsidRDefault="009B5B11" w:rsidP="008F753F">
            <w:pPr>
              <w:jc w:val="right"/>
              <w:rPr>
                <w:rFonts w:ascii="Arial" w:hAnsi="Arial" w:cs="Arial"/>
                <w:sz w:val="18"/>
                <w:szCs w:val="18"/>
              </w:rPr>
            </w:pPr>
          </w:p>
        </w:tc>
        <w:tc>
          <w:tcPr>
            <w:tcW w:w="833" w:type="dxa"/>
          </w:tcPr>
          <w:p w:rsidR="008F753F" w:rsidRDefault="008F753F" w:rsidP="008F753F">
            <w:pPr>
              <w:jc w:val="right"/>
              <w:rPr>
                <w:rFonts w:ascii="Arial" w:hAnsi="Arial" w:cs="Arial"/>
                <w:sz w:val="18"/>
                <w:szCs w:val="18"/>
              </w:rPr>
            </w:pPr>
          </w:p>
          <w:p w:rsidR="009B5B11" w:rsidRDefault="009B5B11" w:rsidP="008F753F">
            <w:pPr>
              <w:jc w:val="right"/>
              <w:rPr>
                <w:rFonts w:ascii="Arial" w:hAnsi="Arial" w:cs="Arial"/>
                <w:sz w:val="18"/>
                <w:szCs w:val="18"/>
              </w:rPr>
            </w:pPr>
            <w:r>
              <w:rPr>
                <w:rFonts w:ascii="Arial" w:hAnsi="Arial" w:cs="Arial"/>
                <w:sz w:val="18"/>
                <w:szCs w:val="18"/>
              </w:rPr>
              <w:t>37,60</w:t>
            </w:r>
          </w:p>
          <w:p w:rsidR="009B5B11" w:rsidRDefault="009B5B11" w:rsidP="008F753F">
            <w:pPr>
              <w:jc w:val="right"/>
              <w:rPr>
                <w:rFonts w:ascii="Arial" w:hAnsi="Arial" w:cs="Arial"/>
                <w:sz w:val="18"/>
                <w:szCs w:val="18"/>
              </w:rPr>
            </w:pPr>
            <w:r>
              <w:rPr>
                <w:rFonts w:ascii="Arial" w:hAnsi="Arial" w:cs="Arial"/>
                <w:sz w:val="18"/>
                <w:szCs w:val="18"/>
              </w:rPr>
              <w:t>12,39</w:t>
            </w:r>
          </w:p>
          <w:p w:rsidR="009B5B11" w:rsidRDefault="009B5B11" w:rsidP="008F753F">
            <w:pPr>
              <w:jc w:val="right"/>
              <w:rPr>
                <w:rFonts w:ascii="Arial" w:hAnsi="Arial" w:cs="Arial"/>
                <w:sz w:val="18"/>
                <w:szCs w:val="18"/>
              </w:rPr>
            </w:pPr>
            <w:r>
              <w:rPr>
                <w:rFonts w:ascii="Arial" w:hAnsi="Arial" w:cs="Arial"/>
                <w:sz w:val="18"/>
                <w:szCs w:val="18"/>
              </w:rPr>
              <w:t>5,20</w:t>
            </w:r>
          </w:p>
          <w:p w:rsidR="009B5B11" w:rsidRPr="008F753F" w:rsidRDefault="009B5B11" w:rsidP="008F753F">
            <w:pPr>
              <w:jc w:val="right"/>
              <w:rPr>
                <w:rFonts w:ascii="Arial" w:hAnsi="Arial" w:cs="Arial"/>
                <w:sz w:val="18"/>
                <w:szCs w:val="18"/>
              </w:rPr>
            </w:pPr>
            <w:r>
              <w:rPr>
                <w:rFonts w:ascii="Arial" w:hAnsi="Arial" w:cs="Arial"/>
                <w:sz w:val="18"/>
                <w:szCs w:val="18"/>
              </w:rPr>
              <w:t>5,13</w:t>
            </w:r>
          </w:p>
        </w:tc>
        <w:tc>
          <w:tcPr>
            <w:tcW w:w="833" w:type="dxa"/>
          </w:tcPr>
          <w:p w:rsidR="008F753F" w:rsidRDefault="008F753F" w:rsidP="008F753F">
            <w:pPr>
              <w:jc w:val="right"/>
              <w:rPr>
                <w:rFonts w:ascii="Arial" w:hAnsi="Arial" w:cs="Arial"/>
                <w:sz w:val="18"/>
                <w:szCs w:val="18"/>
              </w:rPr>
            </w:pPr>
          </w:p>
          <w:p w:rsidR="009B5B11" w:rsidRDefault="009B5B11" w:rsidP="008F753F">
            <w:pPr>
              <w:jc w:val="right"/>
              <w:rPr>
                <w:rFonts w:ascii="Arial" w:hAnsi="Arial" w:cs="Arial"/>
                <w:sz w:val="18"/>
                <w:szCs w:val="18"/>
              </w:rPr>
            </w:pPr>
            <w:r>
              <w:rPr>
                <w:rFonts w:ascii="Arial" w:hAnsi="Arial" w:cs="Arial"/>
                <w:sz w:val="18"/>
                <w:szCs w:val="18"/>
              </w:rPr>
              <w:t>42,64</w:t>
            </w:r>
          </w:p>
          <w:p w:rsidR="009B5B11" w:rsidRDefault="009B5B11" w:rsidP="008F753F">
            <w:pPr>
              <w:jc w:val="right"/>
              <w:rPr>
                <w:rFonts w:ascii="Arial" w:hAnsi="Arial" w:cs="Arial"/>
                <w:sz w:val="18"/>
                <w:szCs w:val="18"/>
              </w:rPr>
            </w:pPr>
            <w:r>
              <w:rPr>
                <w:rFonts w:ascii="Arial" w:hAnsi="Arial" w:cs="Arial"/>
                <w:sz w:val="18"/>
                <w:szCs w:val="18"/>
              </w:rPr>
              <w:t>15,48</w:t>
            </w:r>
          </w:p>
          <w:p w:rsidR="009B5B11" w:rsidRDefault="009B5B11" w:rsidP="008F753F">
            <w:pPr>
              <w:jc w:val="right"/>
              <w:rPr>
                <w:rFonts w:ascii="Arial" w:hAnsi="Arial" w:cs="Arial"/>
                <w:sz w:val="18"/>
                <w:szCs w:val="18"/>
              </w:rPr>
            </w:pPr>
            <w:r>
              <w:rPr>
                <w:rFonts w:ascii="Arial" w:hAnsi="Arial" w:cs="Arial"/>
                <w:sz w:val="18"/>
                <w:szCs w:val="18"/>
              </w:rPr>
              <w:t>5,55</w:t>
            </w:r>
          </w:p>
          <w:p w:rsidR="009B5B11" w:rsidRPr="008F753F" w:rsidRDefault="009B5B11" w:rsidP="008F753F">
            <w:pPr>
              <w:jc w:val="right"/>
              <w:rPr>
                <w:rFonts w:ascii="Arial" w:hAnsi="Arial" w:cs="Arial"/>
                <w:sz w:val="18"/>
                <w:szCs w:val="18"/>
              </w:rPr>
            </w:pPr>
            <w:r>
              <w:rPr>
                <w:rFonts w:ascii="Arial" w:hAnsi="Arial" w:cs="Arial"/>
                <w:sz w:val="18"/>
                <w:szCs w:val="18"/>
              </w:rPr>
              <w:t>8,53</w:t>
            </w:r>
          </w:p>
        </w:tc>
        <w:tc>
          <w:tcPr>
            <w:tcW w:w="992" w:type="dxa"/>
          </w:tcPr>
          <w:p w:rsidR="008F753F" w:rsidRDefault="008F753F" w:rsidP="008F753F">
            <w:pPr>
              <w:jc w:val="right"/>
              <w:rPr>
                <w:rFonts w:ascii="Arial" w:hAnsi="Arial" w:cs="Arial"/>
                <w:sz w:val="18"/>
                <w:szCs w:val="18"/>
              </w:rPr>
            </w:pPr>
          </w:p>
          <w:p w:rsidR="009B5B11" w:rsidRDefault="009B5B11" w:rsidP="008F753F">
            <w:pPr>
              <w:jc w:val="right"/>
              <w:rPr>
                <w:rFonts w:ascii="Arial" w:hAnsi="Arial" w:cs="Arial"/>
                <w:sz w:val="18"/>
                <w:szCs w:val="18"/>
              </w:rPr>
            </w:pPr>
            <w:r>
              <w:rPr>
                <w:rFonts w:ascii="Arial" w:hAnsi="Arial" w:cs="Arial"/>
                <w:sz w:val="18"/>
                <w:szCs w:val="18"/>
              </w:rPr>
              <w:t>6,90</w:t>
            </w:r>
          </w:p>
          <w:p w:rsidR="009B5B11" w:rsidRDefault="009B5B11" w:rsidP="008F753F">
            <w:pPr>
              <w:jc w:val="right"/>
              <w:rPr>
                <w:rFonts w:ascii="Arial" w:hAnsi="Arial" w:cs="Arial"/>
                <w:sz w:val="18"/>
                <w:szCs w:val="18"/>
              </w:rPr>
            </w:pPr>
            <w:r>
              <w:rPr>
                <w:rFonts w:ascii="Arial" w:hAnsi="Arial" w:cs="Arial"/>
                <w:sz w:val="18"/>
                <w:szCs w:val="18"/>
              </w:rPr>
              <w:t>1,38</w:t>
            </w:r>
          </w:p>
          <w:p w:rsidR="009B5B11" w:rsidRDefault="009B5B11" w:rsidP="008F753F">
            <w:pPr>
              <w:jc w:val="right"/>
              <w:rPr>
                <w:rFonts w:ascii="Arial" w:hAnsi="Arial" w:cs="Arial"/>
                <w:sz w:val="18"/>
                <w:szCs w:val="18"/>
              </w:rPr>
            </w:pPr>
            <w:r>
              <w:rPr>
                <w:rFonts w:ascii="Arial" w:hAnsi="Arial" w:cs="Arial"/>
                <w:sz w:val="18"/>
                <w:szCs w:val="18"/>
              </w:rPr>
              <w:t>1,70</w:t>
            </w:r>
          </w:p>
          <w:p w:rsidR="009B5B11" w:rsidRPr="008F753F" w:rsidRDefault="009B5B11" w:rsidP="008F753F">
            <w:pPr>
              <w:jc w:val="right"/>
              <w:rPr>
                <w:rFonts w:ascii="Arial" w:hAnsi="Arial" w:cs="Arial"/>
                <w:sz w:val="18"/>
                <w:szCs w:val="18"/>
              </w:rPr>
            </w:pPr>
            <w:r>
              <w:rPr>
                <w:rFonts w:ascii="Arial" w:hAnsi="Arial" w:cs="Arial"/>
                <w:sz w:val="18"/>
                <w:szCs w:val="18"/>
              </w:rPr>
              <w:t>1,16</w:t>
            </w:r>
          </w:p>
        </w:tc>
        <w:tc>
          <w:tcPr>
            <w:tcW w:w="992" w:type="dxa"/>
          </w:tcPr>
          <w:p w:rsidR="008F753F" w:rsidRDefault="008F753F" w:rsidP="008F753F">
            <w:pPr>
              <w:jc w:val="right"/>
              <w:rPr>
                <w:rFonts w:ascii="Arial" w:hAnsi="Arial" w:cs="Arial"/>
                <w:sz w:val="18"/>
                <w:szCs w:val="18"/>
              </w:rPr>
            </w:pPr>
          </w:p>
          <w:p w:rsidR="009B5B11" w:rsidRDefault="009B5B11" w:rsidP="008F753F">
            <w:pPr>
              <w:jc w:val="right"/>
              <w:rPr>
                <w:rFonts w:ascii="Arial" w:hAnsi="Arial" w:cs="Arial"/>
                <w:sz w:val="18"/>
                <w:szCs w:val="18"/>
              </w:rPr>
            </w:pPr>
            <w:r>
              <w:rPr>
                <w:rFonts w:ascii="Arial" w:hAnsi="Arial" w:cs="Arial"/>
                <w:sz w:val="18"/>
                <w:szCs w:val="18"/>
              </w:rPr>
              <w:t>8,11</w:t>
            </w:r>
          </w:p>
          <w:p w:rsidR="009B5B11" w:rsidRDefault="009B5B11" w:rsidP="008F753F">
            <w:pPr>
              <w:jc w:val="right"/>
              <w:rPr>
                <w:rFonts w:ascii="Arial" w:hAnsi="Arial" w:cs="Arial"/>
                <w:sz w:val="18"/>
                <w:szCs w:val="18"/>
              </w:rPr>
            </w:pPr>
            <w:r>
              <w:rPr>
                <w:rFonts w:ascii="Arial" w:hAnsi="Arial" w:cs="Arial"/>
                <w:sz w:val="18"/>
                <w:szCs w:val="18"/>
              </w:rPr>
              <w:t>2,71</w:t>
            </w:r>
          </w:p>
          <w:p w:rsidR="009B5B11" w:rsidRDefault="009B5B11" w:rsidP="008F753F">
            <w:pPr>
              <w:jc w:val="right"/>
              <w:rPr>
                <w:rFonts w:ascii="Arial" w:hAnsi="Arial" w:cs="Arial"/>
                <w:sz w:val="18"/>
                <w:szCs w:val="18"/>
              </w:rPr>
            </w:pPr>
            <w:r>
              <w:rPr>
                <w:rFonts w:ascii="Arial" w:hAnsi="Arial" w:cs="Arial"/>
                <w:sz w:val="18"/>
                <w:szCs w:val="18"/>
              </w:rPr>
              <w:t>1,92</w:t>
            </w:r>
          </w:p>
          <w:p w:rsidR="009B5B11" w:rsidRPr="008F753F" w:rsidRDefault="009B5B11" w:rsidP="008F753F">
            <w:pPr>
              <w:jc w:val="right"/>
              <w:rPr>
                <w:rFonts w:ascii="Arial" w:hAnsi="Arial" w:cs="Arial"/>
                <w:sz w:val="18"/>
                <w:szCs w:val="18"/>
              </w:rPr>
            </w:pPr>
            <w:r>
              <w:rPr>
                <w:rFonts w:ascii="Arial" w:hAnsi="Arial" w:cs="Arial"/>
                <w:sz w:val="18"/>
                <w:szCs w:val="18"/>
              </w:rPr>
              <w:t>2,39</w:t>
            </w:r>
          </w:p>
        </w:tc>
        <w:tc>
          <w:tcPr>
            <w:tcW w:w="777" w:type="dxa"/>
          </w:tcPr>
          <w:p w:rsidR="008F753F" w:rsidRDefault="008F753F" w:rsidP="008F753F">
            <w:pPr>
              <w:jc w:val="right"/>
              <w:rPr>
                <w:rFonts w:ascii="Arial" w:hAnsi="Arial" w:cs="Arial"/>
                <w:sz w:val="18"/>
                <w:szCs w:val="18"/>
              </w:rPr>
            </w:pPr>
          </w:p>
          <w:p w:rsidR="009B5B11" w:rsidRDefault="009B5B11" w:rsidP="008F753F">
            <w:pPr>
              <w:jc w:val="right"/>
              <w:rPr>
                <w:rFonts w:ascii="Arial" w:hAnsi="Arial" w:cs="Arial"/>
                <w:sz w:val="18"/>
                <w:szCs w:val="18"/>
              </w:rPr>
            </w:pPr>
            <w:r>
              <w:rPr>
                <w:rFonts w:ascii="Arial" w:hAnsi="Arial" w:cs="Arial"/>
                <w:sz w:val="18"/>
                <w:szCs w:val="18"/>
              </w:rPr>
              <w:t>4,36</w:t>
            </w:r>
          </w:p>
          <w:p w:rsidR="009B5B11" w:rsidRDefault="009B5B11" w:rsidP="008F753F">
            <w:pPr>
              <w:jc w:val="right"/>
              <w:rPr>
                <w:rFonts w:ascii="Arial" w:hAnsi="Arial" w:cs="Arial"/>
                <w:sz w:val="18"/>
                <w:szCs w:val="18"/>
              </w:rPr>
            </w:pPr>
            <w:r>
              <w:rPr>
                <w:rFonts w:ascii="Arial" w:hAnsi="Arial" w:cs="Arial"/>
                <w:sz w:val="18"/>
                <w:szCs w:val="18"/>
              </w:rPr>
              <w:t>0,87</w:t>
            </w:r>
          </w:p>
          <w:p w:rsidR="009B5B11" w:rsidRDefault="009B5B11" w:rsidP="008F753F">
            <w:pPr>
              <w:jc w:val="right"/>
              <w:rPr>
                <w:rFonts w:ascii="Arial" w:hAnsi="Arial" w:cs="Arial"/>
                <w:sz w:val="18"/>
                <w:szCs w:val="18"/>
              </w:rPr>
            </w:pPr>
            <w:r>
              <w:rPr>
                <w:rFonts w:ascii="Arial" w:hAnsi="Arial" w:cs="Arial"/>
                <w:sz w:val="18"/>
                <w:szCs w:val="18"/>
              </w:rPr>
              <w:t>1,10</w:t>
            </w:r>
          </w:p>
          <w:p w:rsidR="009B5B11" w:rsidRPr="008F753F" w:rsidRDefault="009B5B11" w:rsidP="008F753F">
            <w:pPr>
              <w:jc w:val="right"/>
              <w:rPr>
                <w:rFonts w:ascii="Arial" w:hAnsi="Arial" w:cs="Arial"/>
                <w:sz w:val="18"/>
                <w:szCs w:val="18"/>
              </w:rPr>
            </w:pPr>
            <w:r>
              <w:rPr>
                <w:rFonts w:ascii="Arial" w:hAnsi="Arial" w:cs="Arial"/>
                <w:sz w:val="18"/>
                <w:szCs w:val="18"/>
              </w:rPr>
              <w:t>0,79</w:t>
            </w:r>
          </w:p>
        </w:tc>
        <w:tc>
          <w:tcPr>
            <w:tcW w:w="777" w:type="dxa"/>
          </w:tcPr>
          <w:p w:rsidR="008F753F" w:rsidRDefault="008F753F" w:rsidP="008F753F">
            <w:pPr>
              <w:jc w:val="right"/>
              <w:rPr>
                <w:rFonts w:ascii="Arial" w:hAnsi="Arial" w:cs="Arial"/>
                <w:sz w:val="18"/>
                <w:szCs w:val="18"/>
              </w:rPr>
            </w:pPr>
          </w:p>
          <w:p w:rsidR="009B5B11" w:rsidRDefault="009B5B11" w:rsidP="008F753F">
            <w:pPr>
              <w:jc w:val="right"/>
              <w:rPr>
                <w:rFonts w:ascii="Arial" w:hAnsi="Arial" w:cs="Arial"/>
                <w:sz w:val="18"/>
                <w:szCs w:val="18"/>
              </w:rPr>
            </w:pPr>
            <w:r>
              <w:rPr>
                <w:rFonts w:ascii="Arial" w:hAnsi="Arial" w:cs="Arial"/>
                <w:sz w:val="18"/>
                <w:szCs w:val="18"/>
              </w:rPr>
              <w:t>5,62</w:t>
            </w:r>
          </w:p>
          <w:p w:rsidR="009B5B11" w:rsidRDefault="009B5B11" w:rsidP="008F753F">
            <w:pPr>
              <w:jc w:val="right"/>
              <w:rPr>
                <w:rFonts w:ascii="Arial" w:hAnsi="Arial" w:cs="Arial"/>
                <w:sz w:val="18"/>
                <w:szCs w:val="18"/>
              </w:rPr>
            </w:pPr>
            <w:r>
              <w:rPr>
                <w:rFonts w:ascii="Arial" w:hAnsi="Arial" w:cs="Arial"/>
                <w:sz w:val="18"/>
                <w:szCs w:val="18"/>
              </w:rPr>
              <w:t>1,87</w:t>
            </w:r>
          </w:p>
          <w:p w:rsidR="009B5B11" w:rsidRDefault="009B5B11" w:rsidP="008F753F">
            <w:pPr>
              <w:jc w:val="right"/>
              <w:rPr>
                <w:rFonts w:ascii="Arial" w:hAnsi="Arial" w:cs="Arial"/>
                <w:sz w:val="18"/>
                <w:szCs w:val="18"/>
              </w:rPr>
            </w:pPr>
            <w:r>
              <w:rPr>
                <w:rFonts w:ascii="Arial" w:hAnsi="Arial" w:cs="Arial"/>
                <w:sz w:val="18"/>
                <w:szCs w:val="18"/>
              </w:rPr>
              <w:t>1,23</w:t>
            </w:r>
          </w:p>
          <w:p w:rsidR="009B5B11" w:rsidRPr="008F753F" w:rsidRDefault="009B5B11" w:rsidP="008F753F">
            <w:pPr>
              <w:jc w:val="right"/>
              <w:rPr>
                <w:rFonts w:ascii="Arial" w:hAnsi="Arial" w:cs="Arial"/>
                <w:sz w:val="18"/>
                <w:szCs w:val="18"/>
              </w:rPr>
            </w:pPr>
            <w:r>
              <w:rPr>
                <w:rFonts w:ascii="Arial" w:hAnsi="Arial" w:cs="Arial"/>
                <w:sz w:val="18"/>
                <w:szCs w:val="18"/>
              </w:rPr>
              <w:t>1,59</w:t>
            </w:r>
          </w:p>
        </w:tc>
      </w:tr>
      <w:tr w:rsidR="009B5B11" w:rsidTr="009B5B11">
        <w:tc>
          <w:tcPr>
            <w:tcW w:w="2102" w:type="dxa"/>
          </w:tcPr>
          <w:p w:rsidR="008F753F" w:rsidRDefault="009B5B11" w:rsidP="00DC7898">
            <w:pPr>
              <w:jc w:val="both"/>
              <w:rPr>
                <w:rFonts w:ascii="Arial" w:hAnsi="Arial" w:cs="Arial"/>
                <w:sz w:val="18"/>
                <w:szCs w:val="18"/>
              </w:rPr>
            </w:pPr>
            <w:r>
              <w:rPr>
                <w:rFonts w:ascii="Arial" w:hAnsi="Arial" w:cs="Arial"/>
                <w:sz w:val="18"/>
                <w:szCs w:val="18"/>
              </w:rPr>
              <w:t>Multiplicateur :</w:t>
            </w:r>
          </w:p>
          <w:p w:rsidR="009B5B11" w:rsidRDefault="009B5B11" w:rsidP="00DC7898">
            <w:pPr>
              <w:jc w:val="both"/>
              <w:rPr>
                <w:rFonts w:ascii="Arial" w:hAnsi="Arial" w:cs="Arial"/>
                <w:sz w:val="18"/>
                <w:szCs w:val="18"/>
              </w:rPr>
            </w:pPr>
            <w:r>
              <w:rPr>
                <w:rFonts w:ascii="Arial" w:hAnsi="Arial" w:cs="Arial"/>
                <w:sz w:val="18"/>
                <w:szCs w:val="18"/>
              </w:rPr>
              <w:t>LVMH</w:t>
            </w:r>
          </w:p>
          <w:p w:rsidR="009B5B11" w:rsidRDefault="009B5B11" w:rsidP="00DC7898">
            <w:pPr>
              <w:jc w:val="both"/>
              <w:rPr>
                <w:rFonts w:ascii="Arial" w:hAnsi="Arial" w:cs="Arial"/>
                <w:sz w:val="18"/>
                <w:szCs w:val="18"/>
              </w:rPr>
            </w:pPr>
            <w:r>
              <w:rPr>
                <w:rFonts w:ascii="Arial" w:hAnsi="Arial" w:cs="Arial"/>
                <w:sz w:val="18"/>
                <w:szCs w:val="18"/>
              </w:rPr>
              <w:t>Kering</w:t>
            </w:r>
          </w:p>
          <w:p w:rsidR="009B5B11" w:rsidRPr="008F753F" w:rsidRDefault="009B5B11" w:rsidP="00DC7898">
            <w:pPr>
              <w:jc w:val="both"/>
              <w:rPr>
                <w:rFonts w:ascii="Arial" w:hAnsi="Arial" w:cs="Arial"/>
                <w:sz w:val="18"/>
                <w:szCs w:val="18"/>
              </w:rPr>
            </w:pPr>
            <w:r>
              <w:rPr>
                <w:rFonts w:ascii="Arial" w:hAnsi="Arial" w:cs="Arial"/>
                <w:sz w:val="18"/>
                <w:szCs w:val="18"/>
              </w:rPr>
              <w:t>Hermès</w:t>
            </w:r>
          </w:p>
        </w:tc>
        <w:tc>
          <w:tcPr>
            <w:tcW w:w="878" w:type="dxa"/>
          </w:tcPr>
          <w:p w:rsidR="008F753F" w:rsidRDefault="008F753F" w:rsidP="008F753F">
            <w:pPr>
              <w:jc w:val="right"/>
              <w:rPr>
                <w:rFonts w:ascii="Arial" w:hAnsi="Arial" w:cs="Arial"/>
                <w:sz w:val="18"/>
                <w:szCs w:val="18"/>
              </w:rPr>
            </w:pPr>
          </w:p>
          <w:p w:rsidR="009B5B11" w:rsidRDefault="009B5B11" w:rsidP="008F753F">
            <w:pPr>
              <w:jc w:val="right"/>
              <w:rPr>
                <w:rFonts w:ascii="Arial" w:hAnsi="Arial" w:cs="Arial"/>
                <w:sz w:val="18"/>
                <w:szCs w:val="18"/>
              </w:rPr>
            </w:pPr>
            <w:r>
              <w:rPr>
                <w:rFonts w:ascii="Arial" w:hAnsi="Arial" w:cs="Arial"/>
                <w:sz w:val="18"/>
                <w:szCs w:val="18"/>
              </w:rPr>
              <w:t>3,5</w:t>
            </w:r>
          </w:p>
          <w:p w:rsidR="009B5B11" w:rsidRDefault="009B5B11" w:rsidP="008F753F">
            <w:pPr>
              <w:jc w:val="right"/>
              <w:rPr>
                <w:rFonts w:ascii="Arial" w:hAnsi="Arial" w:cs="Arial"/>
                <w:sz w:val="18"/>
                <w:szCs w:val="18"/>
              </w:rPr>
            </w:pPr>
            <w:r>
              <w:rPr>
                <w:rFonts w:ascii="Arial" w:hAnsi="Arial" w:cs="Arial"/>
                <w:sz w:val="18"/>
                <w:szCs w:val="18"/>
              </w:rPr>
              <w:t>2,4</w:t>
            </w:r>
          </w:p>
          <w:p w:rsidR="009B5B11" w:rsidRPr="008F753F" w:rsidRDefault="009B5B11" w:rsidP="008F753F">
            <w:pPr>
              <w:jc w:val="right"/>
              <w:rPr>
                <w:rFonts w:ascii="Arial" w:hAnsi="Arial" w:cs="Arial"/>
                <w:sz w:val="18"/>
                <w:szCs w:val="18"/>
              </w:rPr>
            </w:pPr>
            <w:r>
              <w:rPr>
                <w:rFonts w:ascii="Arial" w:hAnsi="Arial" w:cs="Arial"/>
                <w:sz w:val="18"/>
                <w:szCs w:val="18"/>
              </w:rPr>
              <w:t>9,0</w:t>
            </w:r>
          </w:p>
        </w:tc>
        <w:tc>
          <w:tcPr>
            <w:tcW w:w="878" w:type="dxa"/>
          </w:tcPr>
          <w:p w:rsidR="008F753F" w:rsidRDefault="008F753F" w:rsidP="008F753F">
            <w:pPr>
              <w:jc w:val="right"/>
              <w:rPr>
                <w:rFonts w:ascii="Arial" w:hAnsi="Arial" w:cs="Arial"/>
                <w:sz w:val="18"/>
                <w:szCs w:val="18"/>
              </w:rPr>
            </w:pPr>
          </w:p>
          <w:p w:rsidR="009B5B11" w:rsidRDefault="009B5B11" w:rsidP="008F753F">
            <w:pPr>
              <w:jc w:val="right"/>
              <w:rPr>
                <w:rFonts w:ascii="Arial" w:hAnsi="Arial" w:cs="Arial"/>
                <w:sz w:val="18"/>
                <w:szCs w:val="18"/>
              </w:rPr>
            </w:pPr>
            <w:r>
              <w:rPr>
                <w:rFonts w:ascii="Arial" w:hAnsi="Arial" w:cs="Arial"/>
                <w:sz w:val="18"/>
                <w:szCs w:val="18"/>
              </w:rPr>
              <w:t>4,2</w:t>
            </w:r>
          </w:p>
          <w:p w:rsidR="009B5B11" w:rsidRDefault="009B5B11" w:rsidP="008F753F">
            <w:pPr>
              <w:jc w:val="right"/>
              <w:rPr>
                <w:rFonts w:ascii="Arial" w:hAnsi="Arial" w:cs="Arial"/>
                <w:sz w:val="18"/>
                <w:szCs w:val="18"/>
              </w:rPr>
            </w:pPr>
            <w:r>
              <w:rPr>
                <w:rFonts w:ascii="Arial" w:hAnsi="Arial" w:cs="Arial"/>
                <w:sz w:val="18"/>
                <w:szCs w:val="18"/>
              </w:rPr>
              <w:t>3,9</w:t>
            </w:r>
          </w:p>
          <w:p w:rsidR="009B5B11" w:rsidRPr="008F753F" w:rsidRDefault="009B5B11" w:rsidP="008F753F">
            <w:pPr>
              <w:jc w:val="right"/>
              <w:rPr>
                <w:rFonts w:ascii="Arial" w:hAnsi="Arial" w:cs="Arial"/>
                <w:sz w:val="18"/>
                <w:szCs w:val="18"/>
              </w:rPr>
            </w:pPr>
            <w:r>
              <w:rPr>
                <w:rFonts w:ascii="Arial" w:hAnsi="Arial" w:cs="Arial"/>
                <w:sz w:val="18"/>
                <w:szCs w:val="18"/>
              </w:rPr>
              <w:t>9,9</w:t>
            </w:r>
          </w:p>
        </w:tc>
        <w:tc>
          <w:tcPr>
            <w:tcW w:w="833" w:type="dxa"/>
          </w:tcPr>
          <w:p w:rsidR="008F753F" w:rsidRDefault="008F753F" w:rsidP="008F753F">
            <w:pPr>
              <w:jc w:val="right"/>
              <w:rPr>
                <w:rFonts w:ascii="Arial" w:hAnsi="Arial" w:cs="Arial"/>
                <w:sz w:val="18"/>
                <w:szCs w:val="18"/>
              </w:rPr>
            </w:pPr>
          </w:p>
          <w:p w:rsidR="009B5B11" w:rsidRDefault="009B5B11" w:rsidP="008F753F">
            <w:pPr>
              <w:jc w:val="right"/>
              <w:rPr>
                <w:rFonts w:ascii="Arial" w:hAnsi="Arial" w:cs="Arial"/>
                <w:sz w:val="18"/>
                <w:szCs w:val="18"/>
              </w:rPr>
            </w:pPr>
            <w:r>
              <w:rPr>
                <w:rFonts w:ascii="Arial" w:hAnsi="Arial" w:cs="Arial"/>
                <w:sz w:val="18"/>
                <w:szCs w:val="18"/>
              </w:rPr>
              <w:t>2,6</w:t>
            </w:r>
          </w:p>
          <w:p w:rsidR="009B5B11" w:rsidRDefault="009B5B11" w:rsidP="008F753F">
            <w:pPr>
              <w:jc w:val="right"/>
              <w:rPr>
                <w:rFonts w:ascii="Arial" w:hAnsi="Arial" w:cs="Arial"/>
                <w:sz w:val="18"/>
                <w:szCs w:val="18"/>
              </w:rPr>
            </w:pPr>
            <w:r>
              <w:rPr>
                <w:rFonts w:ascii="Arial" w:hAnsi="Arial" w:cs="Arial"/>
                <w:sz w:val="18"/>
                <w:szCs w:val="18"/>
              </w:rPr>
              <w:t>2,3</w:t>
            </w:r>
          </w:p>
          <w:p w:rsidR="009B5B11" w:rsidRPr="008F753F" w:rsidRDefault="009B5B11" w:rsidP="008F753F">
            <w:pPr>
              <w:jc w:val="right"/>
              <w:rPr>
                <w:rFonts w:ascii="Arial" w:hAnsi="Arial" w:cs="Arial"/>
                <w:sz w:val="18"/>
                <w:szCs w:val="18"/>
              </w:rPr>
            </w:pPr>
            <w:r>
              <w:rPr>
                <w:rFonts w:ascii="Arial" w:hAnsi="Arial" w:cs="Arial"/>
                <w:sz w:val="18"/>
                <w:szCs w:val="18"/>
              </w:rPr>
              <w:t>7,6</w:t>
            </w:r>
          </w:p>
        </w:tc>
        <w:tc>
          <w:tcPr>
            <w:tcW w:w="833" w:type="dxa"/>
          </w:tcPr>
          <w:p w:rsidR="008F753F" w:rsidRDefault="008F753F" w:rsidP="008F753F">
            <w:pPr>
              <w:jc w:val="right"/>
              <w:rPr>
                <w:rFonts w:ascii="Arial" w:hAnsi="Arial" w:cs="Arial"/>
                <w:sz w:val="18"/>
                <w:szCs w:val="18"/>
              </w:rPr>
            </w:pPr>
          </w:p>
          <w:p w:rsidR="009B5B11" w:rsidRDefault="009B5B11" w:rsidP="008F753F">
            <w:pPr>
              <w:jc w:val="right"/>
              <w:rPr>
                <w:rFonts w:ascii="Arial" w:hAnsi="Arial" w:cs="Arial"/>
                <w:sz w:val="18"/>
                <w:szCs w:val="18"/>
              </w:rPr>
            </w:pPr>
            <w:r>
              <w:rPr>
                <w:rFonts w:ascii="Arial" w:hAnsi="Arial" w:cs="Arial"/>
                <w:sz w:val="18"/>
                <w:szCs w:val="18"/>
              </w:rPr>
              <w:t>2,9</w:t>
            </w:r>
          </w:p>
          <w:p w:rsidR="009B5B11" w:rsidRDefault="009B5B11" w:rsidP="008F753F">
            <w:pPr>
              <w:jc w:val="right"/>
              <w:rPr>
                <w:rFonts w:ascii="Arial" w:hAnsi="Arial" w:cs="Arial"/>
                <w:sz w:val="18"/>
                <w:szCs w:val="18"/>
              </w:rPr>
            </w:pPr>
            <w:r>
              <w:rPr>
                <w:rFonts w:ascii="Arial" w:hAnsi="Arial" w:cs="Arial"/>
                <w:sz w:val="18"/>
                <w:szCs w:val="18"/>
              </w:rPr>
              <w:t>3,2</w:t>
            </w:r>
          </w:p>
          <w:p w:rsidR="009B5B11" w:rsidRPr="008F753F" w:rsidRDefault="009B5B11" w:rsidP="008F753F">
            <w:pPr>
              <w:jc w:val="right"/>
              <w:rPr>
                <w:rFonts w:ascii="Arial" w:hAnsi="Arial" w:cs="Arial"/>
                <w:sz w:val="18"/>
                <w:szCs w:val="18"/>
              </w:rPr>
            </w:pPr>
            <w:r>
              <w:rPr>
                <w:rFonts w:ascii="Arial" w:hAnsi="Arial" w:cs="Arial"/>
                <w:sz w:val="18"/>
                <w:szCs w:val="18"/>
              </w:rPr>
              <w:t>9,0</w:t>
            </w:r>
          </w:p>
        </w:tc>
        <w:tc>
          <w:tcPr>
            <w:tcW w:w="992" w:type="dxa"/>
          </w:tcPr>
          <w:p w:rsidR="008F753F" w:rsidRDefault="008F753F" w:rsidP="008F753F">
            <w:pPr>
              <w:jc w:val="right"/>
              <w:rPr>
                <w:rFonts w:ascii="Arial" w:hAnsi="Arial" w:cs="Arial"/>
                <w:sz w:val="18"/>
                <w:szCs w:val="18"/>
              </w:rPr>
            </w:pPr>
          </w:p>
          <w:p w:rsidR="009B5B11" w:rsidRDefault="009B5B11" w:rsidP="008F753F">
            <w:pPr>
              <w:jc w:val="right"/>
              <w:rPr>
                <w:rFonts w:ascii="Arial" w:hAnsi="Arial" w:cs="Arial"/>
                <w:sz w:val="18"/>
                <w:szCs w:val="18"/>
              </w:rPr>
            </w:pPr>
            <w:r>
              <w:rPr>
                <w:rFonts w:ascii="Arial" w:hAnsi="Arial" w:cs="Arial"/>
                <w:sz w:val="18"/>
                <w:szCs w:val="18"/>
              </w:rPr>
              <w:t>14,0</w:t>
            </w:r>
          </w:p>
          <w:p w:rsidR="009B5B11" w:rsidRDefault="009B5B11" w:rsidP="008F753F">
            <w:pPr>
              <w:jc w:val="right"/>
              <w:rPr>
                <w:rFonts w:ascii="Arial" w:hAnsi="Arial" w:cs="Arial"/>
                <w:sz w:val="18"/>
                <w:szCs w:val="18"/>
              </w:rPr>
            </w:pPr>
            <w:r>
              <w:rPr>
                <w:rFonts w:ascii="Arial" w:hAnsi="Arial" w:cs="Arial"/>
                <w:sz w:val="18"/>
                <w:szCs w:val="18"/>
              </w:rPr>
              <w:t>20,5</w:t>
            </w:r>
          </w:p>
          <w:p w:rsidR="009B5B11" w:rsidRPr="008F753F" w:rsidRDefault="009B5B11" w:rsidP="008F753F">
            <w:pPr>
              <w:jc w:val="right"/>
              <w:rPr>
                <w:rFonts w:ascii="Arial" w:hAnsi="Arial" w:cs="Arial"/>
                <w:sz w:val="18"/>
                <w:szCs w:val="18"/>
              </w:rPr>
            </w:pPr>
            <w:r>
              <w:rPr>
                <w:rFonts w:ascii="Arial" w:hAnsi="Arial" w:cs="Arial"/>
                <w:sz w:val="18"/>
                <w:szCs w:val="18"/>
              </w:rPr>
              <w:t>23,2</w:t>
            </w:r>
          </w:p>
        </w:tc>
        <w:tc>
          <w:tcPr>
            <w:tcW w:w="992" w:type="dxa"/>
          </w:tcPr>
          <w:p w:rsidR="008F753F" w:rsidRDefault="008F753F" w:rsidP="008F753F">
            <w:pPr>
              <w:jc w:val="right"/>
              <w:rPr>
                <w:rFonts w:ascii="Arial" w:hAnsi="Arial" w:cs="Arial"/>
                <w:sz w:val="18"/>
                <w:szCs w:val="18"/>
              </w:rPr>
            </w:pPr>
          </w:p>
          <w:p w:rsidR="009B5B11" w:rsidRDefault="009B5B11" w:rsidP="008F753F">
            <w:pPr>
              <w:jc w:val="right"/>
              <w:rPr>
                <w:rFonts w:ascii="Arial" w:hAnsi="Arial" w:cs="Arial"/>
                <w:sz w:val="18"/>
                <w:szCs w:val="18"/>
              </w:rPr>
            </w:pPr>
            <w:r>
              <w:rPr>
                <w:rFonts w:ascii="Arial" w:hAnsi="Arial" w:cs="Arial"/>
                <w:sz w:val="18"/>
                <w:szCs w:val="18"/>
              </w:rPr>
              <w:t>15,5</w:t>
            </w:r>
          </w:p>
          <w:p w:rsidR="009B5B11" w:rsidRDefault="009B5B11" w:rsidP="008F753F">
            <w:pPr>
              <w:jc w:val="right"/>
              <w:rPr>
                <w:rFonts w:ascii="Arial" w:hAnsi="Arial" w:cs="Arial"/>
                <w:sz w:val="18"/>
                <w:szCs w:val="18"/>
              </w:rPr>
            </w:pPr>
            <w:r>
              <w:rPr>
                <w:rFonts w:ascii="Arial" w:hAnsi="Arial" w:cs="Arial"/>
                <w:sz w:val="18"/>
                <w:szCs w:val="18"/>
              </w:rPr>
              <w:t>18,4</w:t>
            </w:r>
          </w:p>
          <w:p w:rsidR="009B5B11" w:rsidRPr="008F753F" w:rsidRDefault="009B5B11" w:rsidP="008F753F">
            <w:pPr>
              <w:jc w:val="right"/>
              <w:rPr>
                <w:rFonts w:ascii="Arial" w:hAnsi="Arial" w:cs="Arial"/>
                <w:sz w:val="18"/>
                <w:szCs w:val="18"/>
              </w:rPr>
            </w:pPr>
            <w:r>
              <w:rPr>
                <w:rFonts w:ascii="Arial" w:hAnsi="Arial" w:cs="Arial"/>
                <w:sz w:val="18"/>
                <w:szCs w:val="18"/>
              </w:rPr>
              <w:t>26,0</w:t>
            </w:r>
          </w:p>
        </w:tc>
        <w:tc>
          <w:tcPr>
            <w:tcW w:w="777" w:type="dxa"/>
          </w:tcPr>
          <w:p w:rsidR="008F753F" w:rsidRDefault="008F753F" w:rsidP="008F753F">
            <w:pPr>
              <w:jc w:val="right"/>
              <w:rPr>
                <w:rFonts w:ascii="Arial" w:hAnsi="Arial" w:cs="Arial"/>
                <w:sz w:val="18"/>
                <w:szCs w:val="18"/>
              </w:rPr>
            </w:pPr>
          </w:p>
          <w:p w:rsidR="009B5B11" w:rsidRDefault="009B5B11" w:rsidP="008F753F">
            <w:pPr>
              <w:jc w:val="right"/>
              <w:rPr>
                <w:rFonts w:ascii="Arial" w:hAnsi="Arial" w:cs="Arial"/>
                <w:sz w:val="18"/>
                <w:szCs w:val="18"/>
              </w:rPr>
            </w:pPr>
            <w:r>
              <w:rPr>
                <w:rFonts w:ascii="Arial" w:hAnsi="Arial" w:cs="Arial"/>
                <w:sz w:val="18"/>
                <w:szCs w:val="18"/>
              </w:rPr>
              <w:t>22,2</w:t>
            </w:r>
          </w:p>
          <w:p w:rsidR="009B5B11" w:rsidRDefault="009B5B11" w:rsidP="008F753F">
            <w:pPr>
              <w:jc w:val="right"/>
              <w:rPr>
                <w:rFonts w:ascii="Arial" w:hAnsi="Arial" w:cs="Arial"/>
                <w:sz w:val="18"/>
                <w:szCs w:val="18"/>
              </w:rPr>
            </w:pPr>
            <w:r>
              <w:rPr>
                <w:rFonts w:ascii="Arial" w:hAnsi="Arial" w:cs="Arial"/>
                <w:sz w:val="18"/>
                <w:szCs w:val="18"/>
              </w:rPr>
              <w:t>32,6</w:t>
            </w:r>
          </w:p>
          <w:p w:rsidR="009B5B11" w:rsidRPr="008F753F" w:rsidRDefault="009B5B11" w:rsidP="008F753F">
            <w:pPr>
              <w:jc w:val="right"/>
              <w:rPr>
                <w:rFonts w:ascii="Arial" w:hAnsi="Arial" w:cs="Arial"/>
                <w:sz w:val="18"/>
                <w:szCs w:val="18"/>
              </w:rPr>
            </w:pPr>
            <w:r>
              <w:rPr>
                <w:rFonts w:ascii="Arial" w:hAnsi="Arial" w:cs="Arial"/>
                <w:sz w:val="18"/>
                <w:szCs w:val="18"/>
              </w:rPr>
              <w:t>35,7</w:t>
            </w:r>
          </w:p>
        </w:tc>
        <w:tc>
          <w:tcPr>
            <w:tcW w:w="777" w:type="dxa"/>
          </w:tcPr>
          <w:p w:rsidR="008F753F" w:rsidRDefault="008F753F" w:rsidP="008F753F">
            <w:pPr>
              <w:jc w:val="right"/>
              <w:rPr>
                <w:rFonts w:ascii="Arial" w:hAnsi="Arial" w:cs="Arial"/>
                <w:sz w:val="18"/>
                <w:szCs w:val="18"/>
              </w:rPr>
            </w:pPr>
          </w:p>
          <w:p w:rsidR="009B5B11" w:rsidRDefault="009B5B11" w:rsidP="008F753F">
            <w:pPr>
              <w:jc w:val="right"/>
              <w:rPr>
                <w:rFonts w:ascii="Arial" w:hAnsi="Arial" w:cs="Arial"/>
                <w:sz w:val="18"/>
                <w:szCs w:val="18"/>
              </w:rPr>
            </w:pPr>
            <w:r>
              <w:rPr>
                <w:rFonts w:ascii="Arial" w:hAnsi="Arial" w:cs="Arial"/>
                <w:sz w:val="18"/>
                <w:szCs w:val="18"/>
              </w:rPr>
              <w:t>22,4</w:t>
            </w:r>
          </w:p>
          <w:p w:rsidR="009B5B11" w:rsidRDefault="009B5B11" w:rsidP="008F753F">
            <w:pPr>
              <w:jc w:val="right"/>
              <w:rPr>
                <w:rFonts w:ascii="Arial" w:hAnsi="Arial" w:cs="Arial"/>
                <w:sz w:val="18"/>
                <w:szCs w:val="18"/>
              </w:rPr>
            </w:pPr>
            <w:r>
              <w:rPr>
                <w:rFonts w:ascii="Arial" w:hAnsi="Arial" w:cs="Arial"/>
                <w:sz w:val="18"/>
                <w:szCs w:val="18"/>
              </w:rPr>
              <w:t>26,7</w:t>
            </w:r>
          </w:p>
          <w:p w:rsidR="009B5B11" w:rsidRPr="008F753F" w:rsidRDefault="009B5B11" w:rsidP="008F753F">
            <w:pPr>
              <w:jc w:val="right"/>
              <w:rPr>
                <w:rFonts w:ascii="Arial" w:hAnsi="Arial" w:cs="Arial"/>
                <w:sz w:val="18"/>
                <w:szCs w:val="18"/>
              </w:rPr>
            </w:pPr>
            <w:r>
              <w:rPr>
                <w:rFonts w:ascii="Arial" w:hAnsi="Arial" w:cs="Arial"/>
                <w:sz w:val="18"/>
                <w:szCs w:val="18"/>
              </w:rPr>
              <w:t>40,8</w:t>
            </w:r>
          </w:p>
        </w:tc>
      </w:tr>
    </w:tbl>
    <w:p w:rsidR="00F52524" w:rsidRDefault="00F52524" w:rsidP="00DC7898">
      <w:pPr>
        <w:spacing w:after="0"/>
        <w:jc w:val="both"/>
        <w:rPr>
          <w:rFonts w:ascii="Arial" w:hAnsi="Arial" w:cs="Arial"/>
          <w:sz w:val="24"/>
          <w:szCs w:val="24"/>
        </w:rPr>
      </w:pPr>
    </w:p>
    <w:p w:rsidR="00F52524" w:rsidRDefault="009B5B11" w:rsidP="00DC7898">
      <w:pPr>
        <w:spacing w:after="0"/>
        <w:jc w:val="both"/>
        <w:rPr>
          <w:rFonts w:ascii="Arial" w:hAnsi="Arial" w:cs="Arial"/>
          <w:sz w:val="24"/>
          <w:szCs w:val="24"/>
        </w:rPr>
      </w:pPr>
      <w:r>
        <w:rPr>
          <w:rFonts w:ascii="Arial" w:hAnsi="Arial" w:cs="Arial"/>
          <w:sz w:val="24"/>
          <w:szCs w:val="24"/>
        </w:rPr>
        <w:t>Les multiplicateurs de fonds propres sont dans la fourchette « haute » des groupes mondiaux, avec une nette hausse à fin 2017, qui s’accentue dans les premiers mois de 2018</w:t>
      </w:r>
      <w:r w:rsidR="007861A8">
        <w:rPr>
          <w:rFonts w:ascii="Arial" w:hAnsi="Arial" w:cs="Arial"/>
          <w:sz w:val="24"/>
          <w:szCs w:val="24"/>
        </w:rPr>
        <w:t xml:space="preserve">. </w:t>
      </w:r>
    </w:p>
    <w:p w:rsidR="007861A8" w:rsidRDefault="007861A8" w:rsidP="00DC7898">
      <w:pPr>
        <w:spacing w:after="0"/>
        <w:jc w:val="both"/>
        <w:rPr>
          <w:rFonts w:ascii="Arial" w:hAnsi="Arial" w:cs="Arial"/>
          <w:sz w:val="24"/>
          <w:szCs w:val="24"/>
        </w:rPr>
      </w:pPr>
      <w:r>
        <w:rPr>
          <w:rFonts w:ascii="Arial" w:hAnsi="Arial" w:cs="Arial"/>
          <w:sz w:val="24"/>
          <w:szCs w:val="24"/>
        </w:rPr>
        <w:t>La valorisation de LVMH a augmenté de 30% entre fin 2016 et fin 2007 ; et de 22,7% à fin mai. Au total, le titre a gagné près de 60% entre fin 2016 et actuellement.</w:t>
      </w:r>
    </w:p>
    <w:p w:rsidR="007861A8" w:rsidRDefault="007861A8" w:rsidP="00DC7898">
      <w:pPr>
        <w:spacing w:after="0"/>
        <w:jc w:val="both"/>
        <w:rPr>
          <w:rFonts w:ascii="Arial" w:hAnsi="Arial" w:cs="Arial"/>
          <w:sz w:val="24"/>
          <w:szCs w:val="24"/>
        </w:rPr>
      </w:pPr>
      <w:r>
        <w:rPr>
          <w:rFonts w:ascii="Arial" w:hAnsi="Arial" w:cs="Arial"/>
          <w:sz w:val="24"/>
          <w:szCs w:val="24"/>
        </w:rPr>
        <w:t>La valorisation de Kering est encore plus rapide : + 75,6% entre 2016 et 2017, et il faut ajouter 23,9% sur les premiers mois de 2018 ; soit une hausse de 117,6% entre fin 2016 et actuellement.</w:t>
      </w:r>
    </w:p>
    <w:p w:rsidR="007861A8" w:rsidRDefault="007861A8" w:rsidP="00DC7898">
      <w:pPr>
        <w:spacing w:after="0"/>
        <w:jc w:val="both"/>
        <w:rPr>
          <w:rFonts w:ascii="Arial" w:hAnsi="Arial" w:cs="Arial"/>
          <w:sz w:val="24"/>
          <w:szCs w:val="24"/>
        </w:rPr>
      </w:pPr>
      <w:r>
        <w:rPr>
          <w:rFonts w:ascii="Arial" w:hAnsi="Arial" w:cs="Arial"/>
          <w:sz w:val="24"/>
          <w:szCs w:val="24"/>
        </w:rPr>
        <w:t>Enfin, la valorisation d’Hermès international s’est accrue de 27% entre 2016 et 2017, et de 11% supplémentaire pour le début de l’année 2018.</w:t>
      </w:r>
    </w:p>
    <w:p w:rsidR="007861A8" w:rsidRDefault="007861A8" w:rsidP="00DC7898">
      <w:pPr>
        <w:spacing w:after="0"/>
        <w:jc w:val="both"/>
        <w:rPr>
          <w:rFonts w:ascii="Arial" w:hAnsi="Arial" w:cs="Arial"/>
          <w:sz w:val="24"/>
          <w:szCs w:val="24"/>
        </w:rPr>
      </w:pPr>
      <w:r>
        <w:rPr>
          <w:rFonts w:ascii="Arial" w:hAnsi="Arial" w:cs="Arial"/>
          <w:sz w:val="24"/>
          <w:szCs w:val="24"/>
        </w:rPr>
        <w:t>Pour les fonds propres, il faut souligner l’écart particulièrement important entre Chanel et les trois autres groupes. Ce n’est pas étonnant que le directeur financier ait été discret sur cet aspect des comptes (ainsi que sur les versements de dividendes qui ne permettent pas l’accumulation, et donc d’éventuelles stratégies de croissance, notamment externes, qui supposeraient alors de l’endettement).</w:t>
      </w:r>
    </w:p>
    <w:p w:rsidR="007861A8" w:rsidRDefault="007861A8" w:rsidP="00DC7898">
      <w:pPr>
        <w:spacing w:after="0"/>
        <w:jc w:val="both"/>
        <w:rPr>
          <w:rFonts w:ascii="Arial" w:hAnsi="Arial" w:cs="Arial"/>
          <w:sz w:val="24"/>
          <w:szCs w:val="24"/>
        </w:rPr>
      </w:pPr>
    </w:p>
    <w:p w:rsidR="007861A8" w:rsidRDefault="007861A8" w:rsidP="00DC7898">
      <w:pPr>
        <w:spacing w:after="0"/>
        <w:jc w:val="both"/>
        <w:rPr>
          <w:rFonts w:ascii="Arial" w:hAnsi="Arial" w:cs="Arial"/>
          <w:sz w:val="24"/>
          <w:szCs w:val="24"/>
        </w:rPr>
      </w:pPr>
      <w:r>
        <w:rPr>
          <w:rFonts w:ascii="Arial" w:hAnsi="Arial" w:cs="Arial"/>
          <w:sz w:val="24"/>
          <w:szCs w:val="24"/>
        </w:rPr>
        <w:t>Les valorisations extravagantes annoncées (35 Mds d’euros sur les seuls critères de rentabilité), voire 50 Mds pour les plus « fous »</w:t>
      </w:r>
      <w:r w:rsidR="00AB7153">
        <w:rPr>
          <w:rFonts w:ascii="Arial" w:hAnsi="Arial" w:cs="Arial"/>
          <w:sz w:val="24"/>
          <w:szCs w:val="24"/>
        </w:rPr>
        <w:t xml:space="preserve"> sont donc destinées à une entrée potentielle d’investisseurs en bourse. A 50 Mds, mettre 20% en bourse rapporterait 10 Mds de cash aux frères, sans trop de fatiguer et sans perdre le contrôle. Sauf qu’ensuite, il faudrait assurer sur la rentabilité. Rien de moins évident lorsque l’on regarde les résultats de 2010 à 2016 ci-dessus.</w:t>
      </w:r>
    </w:p>
    <w:p w:rsidR="00AB7153" w:rsidRDefault="00AB7153" w:rsidP="00DC7898">
      <w:pPr>
        <w:spacing w:after="0"/>
        <w:jc w:val="both"/>
        <w:rPr>
          <w:rFonts w:ascii="Arial" w:hAnsi="Arial" w:cs="Arial"/>
          <w:sz w:val="24"/>
          <w:szCs w:val="24"/>
        </w:rPr>
      </w:pPr>
    </w:p>
    <w:p w:rsidR="00AB7153" w:rsidRDefault="00AB7153" w:rsidP="00DC7898">
      <w:pPr>
        <w:spacing w:after="0"/>
        <w:jc w:val="both"/>
        <w:rPr>
          <w:rFonts w:ascii="Arial" w:hAnsi="Arial" w:cs="Arial"/>
          <w:sz w:val="24"/>
          <w:szCs w:val="24"/>
        </w:rPr>
      </w:pPr>
      <w:r>
        <w:rPr>
          <w:rFonts w:ascii="Arial" w:hAnsi="Arial" w:cs="Arial"/>
          <w:sz w:val="24"/>
          <w:szCs w:val="24"/>
        </w:rPr>
        <w:lastRenderedPageBreak/>
        <w:t>En outre, de nombreuses incohérences sur les valeurs annoncées de 2017. Ainsi, le chiffre d’affaires augmenterait de 11,5% entre 2016 et 2017. Ce qui porte l’écart entre les comptes néerlandais de 2016 (soit 5 130 M€, même rectifiés à 5,8 Mds€ pour tenir compte de la déconsolidation d’Eres) et les comptes « UK » (soit 8,53 Mds€ / 1,115 = 7,65 Mds€) à 2,65 Mds€ (impossible que cet écart ne corresponde qu’aux vignobles français et étranger).</w:t>
      </w:r>
    </w:p>
    <w:p w:rsidR="00AB7153" w:rsidRDefault="00AB7153" w:rsidP="00DC7898">
      <w:pPr>
        <w:spacing w:after="0"/>
        <w:jc w:val="both"/>
        <w:rPr>
          <w:rFonts w:ascii="Arial" w:hAnsi="Arial" w:cs="Arial"/>
          <w:sz w:val="24"/>
          <w:szCs w:val="24"/>
        </w:rPr>
      </w:pPr>
      <w:r>
        <w:rPr>
          <w:rFonts w:ascii="Arial" w:hAnsi="Arial" w:cs="Arial"/>
          <w:sz w:val="24"/>
          <w:szCs w:val="24"/>
        </w:rPr>
        <w:t>Même incohérence sur le résultat opérationnel, et sur le résultat net, qui font plus que doubler sur la période 2016/2017, alors que le directeur financier annonce + 22,5% pour le résultat opérationnel et +</w:t>
      </w:r>
      <w:r w:rsidR="00700A67">
        <w:rPr>
          <w:rFonts w:ascii="Arial" w:hAnsi="Arial" w:cs="Arial"/>
          <w:sz w:val="24"/>
          <w:szCs w:val="24"/>
        </w:rPr>
        <w:t xml:space="preserve"> 18,5% pour le résultat net.</w:t>
      </w:r>
    </w:p>
    <w:p w:rsidR="00700A67" w:rsidRDefault="00700A67" w:rsidP="00DC7898">
      <w:pPr>
        <w:spacing w:after="0"/>
        <w:jc w:val="both"/>
        <w:rPr>
          <w:rFonts w:ascii="Arial" w:hAnsi="Arial" w:cs="Arial"/>
          <w:sz w:val="24"/>
          <w:szCs w:val="24"/>
        </w:rPr>
      </w:pPr>
    </w:p>
    <w:p w:rsidR="00700A67" w:rsidRDefault="00700A67" w:rsidP="00DC7898">
      <w:pPr>
        <w:spacing w:after="0"/>
        <w:jc w:val="both"/>
        <w:rPr>
          <w:rFonts w:ascii="Arial" w:hAnsi="Arial" w:cs="Arial"/>
          <w:sz w:val="24"/>
          <w:szCs w:val="24"/>
        </w:rPr>
      </w:pPr>
      <w:r>
        <w:rPr>
          <w:rFonts w:ascii="Arial" w:hAnsi="Arial" w:cs="Arial"/>
          <w:sz w:val="24"/>
          <w:szCs w:val="24"/>
        </w:rPr>
        <w:t>Il est donc urgent d’attendre la publication officielle et complète des comptes. Faute de quoi : bien essayé pour faire valoriser au maximum spéculatif mondial les comptes de Chanel afin de mettre en vente une partie du capital avant le déluge annoncé des bourses mondiales.</w:t>
      </w:r>
    </w:p>
    <w:p w:rsidR="00700A67" w:rsidRDefault="00700A67" w:rsidP="00DC7898">
      <w:pPr>
        <w:spacing w:after="0"/>
        <w:jc w:val="both"/>
        <w:rPr>
          <w:rFonts w:ascii="Arial" w:hAnsi="Arial" w:cs="Arial"/>
          <w:sz w:val="24"/>
          <w:szCs w:val="24"/>
        </w:rPr>
      </w:pPr>
    </w:p>
    <w:p w:rsidR="00700A67" w:rsidRDefault="00700A67" w:rsidP="00DC7898">
      <w:pPr>
        <w:spacing w:after="0"/>
        <w:jc w:val="both"/>
        <w:rPr>
          <w:rFonts w:ascii="Arial" w:hAnsi="Arial" w:cs="Arial"/>
          <w:sz w:val="24"/>
          <w:szCs w:val="24"/>
        </w:rPr>
      </w:pPr>
      <w:r>
        <w:rPr>
          <w:rFonts w:ascii="Arial" w:hAnsi="Arial" w:cs="Arial"/>
          <w:sz w:val="24"/>
          <w:szCs w:val="24"/>
        </w:rPr>
        <w:t>B. Boussemart</w:t>
      </w:r>
      <w:bookmarkStart w:id="0" w:name="_GoBack"/>
      <w:bookmarkEnd w:id="0"/>
    </w:p>
    <w:p w:rsidR="00F52524" w:rsidRPr="00DC7898" w:rsidRDefault="00F52524" w:rsidP="00DC7898">
      <w:pPr>
        <w:spacing w:after="0"/>
        <w:jc w:val="both"/>
        <w:rPr>
          <w:rFonts w:ascii="Arial" w:hAnsi="Arial" w:cs="Arial"/>
          <w:sz w:val="24"/>
          <w:szCs w:val="24"/>
        </w:rPr>
      </w:pPr>
    </w:p>
    <w:sectPr w:rsidR="00F52524" w:rsidRPr="00DC78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98"/>
    <w:rsid w:val="00015746"/>
    <w:rsid w:val="00084024"/>
    <w:rsid w:val="000921A5"/>
    <w:rsid w:val="002863F6"/>
    <w:rsid w:val="00492491"/>
    <w:rsid w:val="005A3D1A"/>
    <w:rsid w:val="005F6B3C"/>
    <w:rsid w:val="00661B18"/>
    <w:rsid w:val="0069225E"/>
    <w:rsid w:val="00700A67"/>
    <w:rsid w:val="007861A8"/>
    <w:rsid w:val="007F1081"/>
    <w:rsid w:val="008F753F"/>
    <w:rsid w:val="009B5B11"/>
    <w:rsid w:val="009C7DB7"/>
    <w:rsid w:val="00A005FB"/>
    <w:rsid w:val="00AB7153"/>
    <w:rsid w:val="00B7196E"/>
    <w:rsid w:val="00B83808"/>
    <w:rsid w:val="00BA5A57"/>
    <w:rsid w:val="00DC7898"/>
    <w:rsid w:val="00E24697"/>
    <w:rsid w:val="00F525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8FC3"/>
  <w15:chartTrackingRefBased/>
  <w15:docId w15:val="{E63CFBBD-2224-4741-8DC8-07093867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61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3</Pages>
  <Words>902</Words>
  <Characters>4962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10</cp:revision>
  <dcterms:created xsi:type="dcterms:W3CDTF">2018-06-25T06:35:00Z</dcterms:created>
  <dcterms:modified xsi:type="dcterms:W3CDTF">2018-06-25T12:32:00Z</dcterms:modified>
</cp:coreProperties>
</file>