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E06" w:rsidRDefault="00594E06" w:rsidP="00594E06">
      <w:pPr>
        <w:pageBreakBefore/>
        <w:spacing w:after="0" w:line="240" w:lineRule="auto"/>
        <w:jc w:val="center"/>
        <w:rPr>
          <w:rFonts w:ascii="Gentium Book Basic" w:eastAsia="Times New Roman" w:hAnsi="Gentium Book Basic" w:cs="Times New Roman"/>
          <w:color w:val="000000"/>
          <w:sz w:val="32"/>
          <w:szCs w:val="32"/>
          <w:lang w:eastAsia="fr-FR"/>
        </w:rPr>
      </w:pPr>
      <w:r w:rsidRPr="007F283F">
        <w:rPr>
          <w:rFonts w:ascii="Gentium Book Basic" w:eastAsia="Times New Roman" w:hAnsi="Gentium Book Basic" w:cs="Times New Roman"/>
          <w:b/>
          <w:bCs/>
          <w:noProof/>
          <w:color w:val="000000"/>
          <w:sz w:val="32"/>
          <w:szCs w:val="3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B112B" wp14:editId="1A4E916A">
                <wp:simplePos x="0" y="0"/>
                <wp:positionH relativeFrom="column">
                  <wp:posOffset>8282305</wp:posOffset>
                </wp:positionH>
                <wp:positionV relativeFrom="paragraph">
                  <wp:posOffset>-509270</wp:posOffset>
                </wp:positionV>
                <wp:extent cx="1143000" cy="904875"/>
                <wp:effectExtent l="0" t="0" r="19050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E06" w:rsidRDefault="00594E06">
                            <w:r w:rsidRPr="00594E06">
                              <w:rPr>
                                <w:rFonts w:ascii="Gentium Book Basic" w:eastAsia="Times New Roman" w:hAnsi="Gentium Book Basic" w:cs="Times New Roman"/>
                                <w:b/>
                                <w:bCs/>
                                <w:noProof/>
                                <w:color w:val="000000"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B80AC2F" wp14:editId="325A58BF">
                                  <wp:extent cx="971550" cy="771168"/>
                                  <wp:effectExtent l="0" t="0" r="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1550" cy="7711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52.15pt;margin-top:-40.1pt;width:90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Ot1LAIAAEsEAAAOAAAAZHJzL2Uyb0RvYy54bWysVE1v2zAMvQ/YfxB0X+ykyZIacYouXYYB&#10;3QfQ7bIbI8mxMFn0JCV29utHyWmabthlWA6CGFKPj4+klzd9Y9hBOa/Rlnw8yjlTVqDUdlfyr182&#10;rxac+QBWgkGrSn5Unt+sXr5Ydm2hJlijkcoxArG+6NqS1yG0RZZ5UasG/AhbZclZoWsgkOl2mXTQ&#10;EXpjskmev846dLJ1KJT39O/d4OSrhF9VSoRPVeVVYKbkxC2k06VzG89stYRi56CttTjRgH9g0YC2&#10;lPQMdQcB2N7pP6AaLRx6rMJIYJNhVWmhUg1UzTj/rZqHGlqVaiFxfHuWyf8/WPHx8NkxLUt+lc85&#10;s9BQk75Rq5hULKg+KDaJInWtLyj2oaXo0L/BnpqdCvbtPYrvnllc12B36tY57GoFkkiO48vs4umA&#10;4yPItvuAknLBPmAC6ivXRAVJE0bo1KzjuUHEg4mYcjy9ynNyCfJd59PFfJZSQPH4unU+vFPYsHgp&#10;uaMBSOhwuPchsoHiMSQm82i03GhjkuF227Vx7AA0LJv0O6E/CzOWdZR9NpkNAvwVgphGskPWZxCN&#10;DjT1RjclX5yDoIiyvbWSHkARQJvhTpSNPekYpRtEDP22p8Ao7hblkRR1OEw3bSNdanQ/Oetoskvu&#10;f+zBKc7Me0tduR5Pp3EVkjGdzSdkuEvP9tIDVhBUyQNnw3Ud0vpEjhZvqXuVTsI+MTlxpYlNep+2&#10;K67EpZ2inr4Bq18AAAD//wMAUEsDBBQABgAIAAAAIQDIoeiY4AAAAAwBAAAPAAAAZHJzL2Rvd25y&#10;ZXYueG1sTI/BToQwEIbvJr5DMyZezG4rEESkbIyJRm/ravTapbNApFNsuyy+veWkx3/myz/fVJvZ&#10;DGxC53tLEq7XAhhSY3VPrYT3t8dVAcwHRVoNllDCD3rY1OdnlSq1PdErTrvQslhCvlQSuhDGknPf&#10;dGiUX9sRKe4O1hkVYnQt106dYrkZeCJEzo3qKV7o1IgPHTZfu6ORUGTP06d/SbcfTX4YbsPVzfT0&#10;7aS8vJjv74AFnMMfDIt+VIc6Ou3tkbRnQ8ypyNLISlgVIgG2IFmxjPYS8iQFXlf8/xP1LwAAAP//&#10;AwBQSwECLQAUAAYACAAAACEAtoM4kv4AAADhAQAAEwAAAAAAAAAAAAAAAAAAAAAAW0NvbnRlbnRf&#10;VHlwZXNdLnhtbFBLAQItABQABgAIAAAAIQA4/SH/1gAAAJQBAAALAAAAAAAAAAAAAAAAAC8BAABf&#10;cmVscy8ucmVsc1BLAQItABQABgAIAAAAIQCKsOt1LAIAAEsEAAAOAAAAAAAAAAAAAAAAAC4CAABk&#10;cnMvZTJvRG9jLnhtbFBLAQItABQABgAIAAAAIQDIoeiY4AAAAAwBAAAPAAAAAAAAAAAAAAAAAIYE&#10;AABkcnMvZG93bnJldi54bWxQSwUGAAAAAAQABADzAAAAkwUAAAAA&#10;">
                <v:textbox>
                  <w:txbxContent>
                    <w:p w:rsidR="00594E06" w:rsidRDefault="00594E06">
                      <w:r w:rsidRPr="00594E06">
                        <w:rPr>
                          <w:rFonts w:ascii="Gentium Book Basic" w:eastAsia="Times New Roman" w:hAnsi="Gentium Book Basic" w:cs="Times New Roman"/>
                          <w:b/>
                          <w:bCs/>
                          <w:color w:val="000000"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B80AC2F" wp14:editId="325A58BF">
                            <wp:extent cx="971550" cy="771168"/>
                            <wp:effectExtent l="0" t="0" r="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71550" cy="77116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594E06">
        <w:rPr>
          <w:rFonts w:ascii="Gentium Book Basic" w:eastAsia="Times New Roman" w:hAnsi="Gentium Book Basic" w:cs="Times New Roman"/>
          <w:b/>
          <w:color w:val="000000"/>
          <w:sz w:val="32"/>
          <w:szCs w:val="32"/>
          <w:u w:val="single"/>
          <w:lang w:eastAsia="fr-FR"/>
        </w:rPr>
        <w:t>« </w:t>
      </w:r>
      <w:r w:rsidR="007F283F" w:rsidRPr="00594E06">
        <w:rPr>
          <w:rFonts w:ascii="Gentium Book Basic" w:eastAsia="Times New Roman" w:hAnsi="Gentium Book Basic" w:cs="Times New Roman"/>
          <w:b/>
          <w:color w:val="000000"/>
          <w:sz w:val="32"/>
          <w:szCs w:val="32"/>
          <w:u w:val="single"/>
          <w:lang w:eastAsia="fr-FR"/>
        </w:rPr>
        <w:t xml:space="preserve">POP </w:t>
      </w:r>
      <w:r w:rsidRPr="00594E06">
        <w:rPr>
          <w:rFonts w:ascii="Gentium Book Basic" w:eastAsia="Times New Roman" w:hAnsi="Gentium Book Basic" w:cs="Times New Roman"/>
          <w:b/>
          <w:color w:val="000000"/>
          <w:sz w:val="32"/>
          <w:szCs w:val="32"/>
          <w:u w:val="single"/>
          <w:lang w:eastAsia="fr-FR"/>
        </w:rPr>
        <w:t>mange de toutes les couleurs»,</w:t>
      </w:r>
      <w:r w:rsidRPr="00594E06">
        <w:rPr>
          <w:rFonts w:ascii="Gentium Book Basic" w:eastAsia="Times New Roman" w:hAnsi="Gentium Book Basic" w:cs="Times New Roman"/>
          <w:color w:val="000000"/>
          <w:sz w:val="32"/>
          <w:szCs w:val="32"/>
          <w:u w:val="single"/>
          <w:lang w:eastAsia="fr-FR"/>
        </w:rPr>
        <w:t xml:space="preserve"> </w:t>
      </w:r>
      <w:proofErr w:type="spellStart"/>
      <w:r w:rsidRPr="00594E06">
        <w:rPr>
          <w:rFonts w:ascii="Gentium Book Basic" w:eastAsia="Times New Roman" w:hAnsi="Gentium Book Basic" w:cs="Times New Roman"/>
          <w:color w:val="000000"/>
          <w:sz w:val="32"/>
          <w:szCs w:val="32"/>
          <w:lang w:eastAsia="fr-FR"/>
        </w:rPr>
        <w:t>Bisinski</w:t>
      </w:r>
      <w:proofErr w:type="spellEnd"/>
      <w:r w:rsidRPr="00594E06">
        <w:rPr>
          <w:rFonts w:ascii="Gentium Book Basic" w:eastAsia="Times New Roman" w:hAnsi="Gentium Book Basic" w:cs="Times New Roman"/>
          <w:color w:val="000000"/>
          <w:sz w:val="32"/>
          <w:szCs w:val="32"/>
          <w:lang w:eastAsia="fr-FR"/>
        </w:rPr>
        <w:t>-Sanders</w:t>
      </w:r>
    </w:p>
    <w:p w:rsidR="00594E06" w:rsidRPr="007F283F" w:rsidRDefault="00594E06" w:rsidP="00594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594E06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Découvrir le m</w:t>
      </w:r>
      <w:r w:rsidR="007F283F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onde – Les couleurs – Cycle I (PS/M</w:t>
      </w:r>
      <w:r w:rsidRPr="00594E06">
        <w:rPr>
          <w:rFonts w:ascii="Gentium Book Basic" w:eastAsia="Times New Roman" w:hAnsi="Gentium Book Basic" w:cs="Times New Roman"/>
          <w:bCs/>
          <w:color w:val="000000"/>
          <w:sz w:val="28"/>
          <w:szCs w:val="28"/>
          <w:u w:val="single"/>
          <w:lang w:eastAsia="fr-FR"/>
        </w:rPr>
        <w:t>S)</w:t>
      </w:r>
    </w:p>
    <w:p w:rsidR="007F283F" w:rsidRPr="00426520" w:rsidRDefault="007F283F" w:rsidP="0023215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fr-FR"/>
        </w:rPr>
      </w:pPr>
    </w:p>
    <w:tbl>
      <w:tblPr>
        <w:tblStyle w:val="Grilledutableau"/>
        <w:tblW w:w="15310" w:type="dxa"/>
        <w:tblInd w:w="-318" w:type="dxa"/>
        <w:tblLook w:val="04A0" w:firstRow="1" w:lastRow="0" w:firstColumn="1" w:lastColumn="0" w:noHBand="0" w:noVBand="1"/>
      </w:tblPr>
      <w:tblGrid>
        <w:gridCol w:w="2553"/>
        <w:gridCol w:w="4837"/>
        <w:gridCol w:w="7920"/>
      </w:tblGrid>
      <w:tr w:rsidR="00747368" w:rsidRPr="00747368" w:rsidTr="00426520">
        <w:tc>
          <w:tcPr>
            <w:tcW w:w="15310" w:type="dxa"/>
            <w:gridSpan w:val="3"/>
            <w:shd w:val="clear" w:color="auto" w:fill="A6A6A6" w:themeFill="background1" w:themeFillShade="A6"/>
          </w:tcPr>
          <w:p w:rsidR="00747368" w:rsidRPr="00747368" w:rsidRDefault="00747368" w:rsidP="0074736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Thème de la séquence : 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Pop mange de toutes les couleurs, album de </w:t>
            </w:r>
            <w:proofErr w:type="spellStart"/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Bisinski</w:t>
            </w:r>
            <w:proofErr w:type="spellEnd"/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Sanders</w:t>
            </w:r>
          </w:p>
        </w:tc>
      </w:tr>
      <w:tr w:rsidR="007F283F" w:rsidRPr="00747368" w:rsidTr="00426520">
        <w:tc>
          <w:tcPr>
            <w:tcW w:w="2553" w:type="dxa"/>
          </w:tcPr>
          <w:p w:rsidR="007F283F" w:rsidRPr="00594E06" w:rsidRDefault="007F283F" w:rsidP="007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Cycle :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I </w:t>
            </w:r>
          </w:p>
          <w:p w:rsidR="007F283F" w:rsidRPr="00747368" w:rsidRDefault="007F283F" w:rsidP="007F28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 :</w:t>
            </w:r>
            <w:r w:rsidRPr="007473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PS - M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</w:t>
            </w:r>
          </w:p>
        </w:tc>
        <w:tc>
          <w:tcPr>
            <w:tcW w:w="12757" w:type="dxa"/>
            <w:gridSpan w:val="2"/>
            <w:vAlign w:val="center"/>
          </w:tcPr>
          <w:p w:rsidR="007F283F" w:rsidRPr="00747368" w:rsidRDefault="007F283F" w:rsidP="007846E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Domaines : 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Découvrir le monde – Découvrir l'écrit – S'approprier le langage – Percevoir, Sentir, Imaginer, Créer</w:t>
            </w:r>
          </w:p>
        </w:tc>
      </w:tr>
      <w:tr w:rsidR="00747368" w:rsidRPr="00747368" w:rsidTr="00426520">
        <w:trPr>
          <w:trHeight w:val="449"/>
        </w:trPr>
        <w:tc>
          <w:tcPr>
            <w:tcW w:w="15310" w:type="dxa"/>
            <w:gridSpan w:val="3"/>
            <w:vAlign w:val="center"/>
          </w:tcPr>
          <w:p w:rsidR="00747368" w:rsidRPr="00747368" w:rsidRDefault="00747368" w:rsidP="004265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426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Obje</w:t>
            </w: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ctif</w:t>
            </w:r>
            <w:r w:rsidRPr="004265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pédagogique général : 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Comprendre, acquérir et utiliser un vocabulaire pertinent : les noms des couleurs (BO 19 juin 2008)</w:t>
            </w:r>
          </w:p>
        </w:tc>
      </w:tr>
      <w:tr w:rsidR="007846E1" w:rsidRPr="00747368" w:rsidTr="00426520">
        <w:tc>
          <w:tcPr>
            <w:tcW w:w="15310" w:type="dxa"/>
            <w:gridSpan w:val="3"/>
          </w:tcPr>
          <w:p w:rsidR="007846E1" w:rsidRPr="00594E06" w:rsidRDefault="007846E1" w:rsidP="0078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Objectifs transversaux :</w:t>
            </w:r>
          </w:p>
          <w:p w:rsidR="007846E1" w:rsidRPr="00594E06" w:rsidRDefault="007846E1" w:rsidP="007846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S'approprier le langage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 :</w:t>
            </w:r>
          </w:p>
          <w:p w:rsidR="007846E1" w:rsidRPr="00594E06" w:rsidRDefault="007846E1" w:rsidP="007846E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Comprendre une histoire courte et simple racontée par l’enseignant : répondre à quelques questions très simpl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es sur le</w:t>
            </w:r>
            <w:r w:rsidR="00426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texte..</w:t>
            </w: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.</w:t>
            </w:r>
          </w:p>
          <w:p w:rsidR="007846E1" w:rsidRPr="00594E06" w:rsidRDefault="007846E1" w:rsidP="007846E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Observer un livre d’images, ou très illustré, et traduire en mots ses observations.</w:t>
            </w:r>
          </w:p>
          <w:p w:rsidR="007846E1" w:rsidRPr="00594E06" w:rsidRDefault="007846E1" w:rsidP="007846E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Se saisir d’un nouvel outil linguistique (lexical ou syntaxique) que l’enseignant lui fournit quand il lui manque, en situation, pour exprimer ce qu’il a à dire.</w:t>
            </w:r>
          </w:p>
          <w:p w:rsidR="007846E1" w:rsidRPr="00594E06" w:rsidRDefault="007846E1" w:rsidP="007846E1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Produire des phrases correctes, même très courtes.</w:t>
            </w:r>
          </w:p>
          <w:p w:rsidR="007846E1" w:rsidRPr="00594E06" w:rsidRDefault="007846E1" w:rsidP="007846E1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Se familiariser avec l'écrit</w:t>
            </w:r>
            <w:r w:rsidRPr="00594E0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eastAsia="fr-FR"/>
              </w:rPr>
              <w:t> :</w:t>
            </w:r>
          </w:p>
          <w:p w:rsidR="007846E1" w:rsidRPr="00594E06" w:rsidRDefault="007846E1" w:rsidP="007846E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Écouter des histoires racontées ou lues par le maître.</w:t>
            </w:r>
          </w:p>
          <w:p w:rsidR="007846E1" w:rsidRPr="00426520" w:rsidRDefault="007846E1" w:rsidP="007846E1">
            <w:pP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fr-FR"/>
              </w:rPr>
              <w:t>Découvrir le monde :</w:t>
            </w:r>
          </w:p>
          <w:p w:rsidR="007846E1" w:rsidRPr="007846E1" w:rsidRDefault="007846E1" w:rsidP="007846E1">
            <w:pPr>
              <w:pStyle w:val="Paragraphedeliste"/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Reconnaître, nommer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,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décrire, comparer, ranger et classer des objets selon leur couleur.</w:t>
            </w:r>
          </w:p>
        </w:tc>
      </w:tr>
      <w:tr w:rsidR="007846E1" w:rsidRPr="00747368" w:rsidTr="00426520">
        <w:tc>
          <w:tcPr>
            <w:tcW w:w="15310" w:type="dxa"/>
            <w:gridSpan w:val="3"/>
          </w:tcPr>
          <w:p w:rsidR="007846E1" w:rsidRPr="00594E06" w:rsidRDefault="007846E1" w:rsidP="00784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Prérequis : </w:t>
            </w:r>
          </w:p>
        </w:tc>
      </w:tr>
      <w:tr w:rsidR="007846E1" w:rsidRPr="00747368" w:rsidTr="00426520">
        <w:tc>
          <w:tcPr>
            <w:tcW w:w="7390" w:type="dxa"/>
            <w:gridSpan w:val="2"/>
          </w:tcPr>
          <w:p w:rsidR="007846E1" w:rsidRPr="00594E06" w:rsidRDefault="007846E1" w:rsidP="00784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594E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de séances : </w:t>
            </w:r>
            <w:r w:rsidRPr="007846E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7920" w:type="dxa"/>
          </w:tcPr>
          <w:p w:rsidR="007846E1" w:rsidRPr="007846E1" w:rsidRDefault="007846E1" w:rsidP="007846E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7846E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fr-FR"/>
              </w:rPr>
              <w:t>Période</w:t>
            </w:r>
            <w:r w:rsidRPr="007846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 : 2ème période </w:t>
            </w:r>
          </w:p>
        </w:tc>
      </w:tr>
    </w:tbl>
    <w:p w:rsidR="007846E1" w:rsidRPr="00594E06" w:rsidRDefault="007846E1" w:rsidP="004265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Style w:val="Grilledutableau"/>
        <w:tblW w:w="1531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275"/>
        <w:gridCol w:w="1134"/>
        <w:gridCol w:w="1276"/>
        <w:gridCol w:w="7796"/>
        <w:gridCol w:w="1843"/>
      </w:tblGrid>
      <w:tr w:rsidR="00426520" w:rsidRPr="00426520" w:rsidTr="00426520">
        <w:tc>
          <w:tcPr>
            <w:tcW w:w="15310" w:type="dxa"/>
            <w:gridSpan w:val="6"/>
            <w:shd w:val="clear" w:color="auto" w:fill="BFBFBF" w:themeFill="background1" w:themeFillShade="BF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Séance 1</w:t>
            </w:r>
          </w:p>
        </w:tc>
      </w:tr>
      <w:tr w:rsidR="00426520" w:rsidRPr="00426520" w:rsidTr="00B353EB">
        <w:tc>
          <w:tcPr>
            <w:tcW w:w="1986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Objectif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Dispositif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Durée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Matériel</w:t>
            </w:r>
          </w:p>
        </w:tc>
        <w:tc>
          <w:tcPr>
            <w:tcW w:w="7796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Déroulement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</w:rPr>
              <w:t>Remarques</w:t>
            </w:r>
          </w:p>
        </w:tc>
      </w:tr>
      <w:tr w:rsidR="00426520" w:rsidRPr="00426520" w:rsidTr="00B353EB">
        <w:tc>
          <w:tcPr>
            <w:tcW w:w="1986" w:type="dxa"/>
            <w:vAlign w:val="center"/>
          </w:tcPr>
          <w:p w:rsidR="00426520" w:rsidRPr="00E253D3" w:rsidRDefault="00E253D3" w:rsidP="0042652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E253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Etape 1</w:t>
            </w:r>
          </w:p>
        </w:tc>
        <w:tc>
          <w:tcPr>
            <w:tcW w:w="1275" w:type="dxa"/>
            <w:vAlign w:val="center"/>
          </w:tcPr>
          <w:p w:rsid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5" w:type="dxa"/>
            <w:gridSpan w:val="3"/>
            <w:vAlign w:val="center"/>
          </w:tcPr>
          <w:p w:rsidR="00232158" w:rsidRPr="00232158" w:rsidRDefault="00426520" w:rsidP="0023215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2652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Consigne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 : </w:t>
            </w:r>
            <w:r w:rsidRPr="00426520">
              <w:rPr>
                <w:rFonts w:ascii="Times New Roman" w:hAnsi="Times New Roman" w:cs="Times New Roman"/>
                <w:i/>
                <w:sz w:val="24"/>
                <w:szCs w:val="24"/>
              </w:rPr>
              <w:t>Aujourd’hui, j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e vais vous lire un nouveau livre. Mais j’ai décidé de ne pas vous le lire tout de suite</w:t>
            </w:r>
            <w:r w:rsidRPr="00426520">
              <w:rPr>
                <w:rFonts w:ascii="Times New Roman" w:hAnsi="Times New Roman" w:cs="Times New Roman"/>
                <w:i/>
                <w:sz w:val="24"/>
                <w:szCs w:val="24"/>
              </w:rPr>
              <w:t>. Je vais vous laisser</w:t>
            </w:r>
            <w:r w:rsidR="002321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regarder chaque page puis on en discutera. Après, je vous lirai l’histoire.</w:t>
            </w:r>
          </w:p>
        </w:tc>
      </w:tr>
      <w:tr w:rsidR="00426520" w:rsidRPr="00426520" w:rsidTr="00B353EB">
        <w:trPr>
          <w:trHeight w:val="979"/>
        </w:trPr>
        <w:tc>
          <w:tcPr>
            <w:tcW w:w="1986" w:type="dxa"/>
            <w:vAlign w:val="center"/>
          </w:tcPr>
          <w:p w:rsidR="00426520" w:rsidRPr="00B353EB" w:rsidRDefault="00E253D3" w:rsidP="00E2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Etape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2 : </w:t>
            </w:r>
            <w:r w:rsidRPr="00E253D3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426520"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>écouverte de la 1</w:t>
            </w:r>
            <w:r w:rsidR="00426520" w:rsidRPr="00B35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="00426520"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de couverture</w:t>
            </w:r>
          </w:p>
        </w:tc>
        <w:tc>
          <w:tcPr>
            <w:tcW w:w="1275" w:type="dxa"/>
            <w:vMerge w:val="restart"/>
            <w:vAlign w:val="center"/>
          </w:tcPr>
          <w:p w:rsidR="00E253D3" w:rsidRPr="00E253D3" w:rsidRDefault="00E253D3" w:rsidP="0042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Matin : </w:t>
            </w: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Groupe</w:t>
            </w:r>
          </w:p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(5 ou 6 LV)</w:t>
            </w:r>
          </w:p>
          <w:p w:rsidR="00E253D3" w:rsidRPr="00E253D3" w:rsidRDefault="00E253D3" w:rsidP="004265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3D3" w:rsidRPr="00426520" w:rsidRDefault="00E253D3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Après-midi</w:t>
            </w: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 : tous les MS</w:t>
            </w:r>
          </w:p>
        </w:tc>
        <w:tc>
          <w:tcPr>
            <w:tcW w:w="1134" w:type="dxa"/>
            <w:vAlign w:val="center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3’</w:t>
            </w:r>
          </w:p>
        </w:tc>
        <w:tc>
          <w:tcPr>
            <w:tcW w:w="1276" w:type="dxa"/>
            <w:vAlign w:val="center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Album</w:t>
            </w:r>
          </w:p>
        </w:tc>
        <w:tc>
          <w:tcPr>
            <w:tcW w:w="7796" w:type="dxa"/>
            <w:vAlign w:val="center"/>
          </w:tcPr>
          <w:p w:rsidR="00426520" w:rsidRDefault="00232158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  </w:t>
            </w:r>
            <w:r w:rsidRPr="00232158">
              <w:rPr>
                <w:rFonts w:ascii="Times New Roman" w:hAnsi="Times New Roman" w:cs="Times New Roman"/>
                <w:sz w:val="24"/>
                <w:szCs w:val="24"/>
              </w:rPr>
              <w:t>Laisser les LV observer et formuler des hypothèses sur le thème, l’histoire, le personnage…</w:t>
            </w:r>
          </w:p>
          <w:p w:rsidR="00232158" w:rsidRPr="00426520" w:rsidRDefault="00232158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 Leur indiquer qu’il s’agit d’un Dinosaure  </w:t>
            </w:r>
          </w:p>
        </w:tc>
        <w:tc>
          <w:tcPr>
            <w:tcW w:w="1843" w:type="dxa"/>
            <w:vAlign w:val="center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6520" w:rsidRPr="00426520" w:rsidTr="00B353EB">
        <w:tc>
          <w:tcPr>
            <w:tcW w:w="1986" w:type="dxa"/>
            <w:vAlign w:val="center"/>
          </w:tcPr>
          <w:p w:rsidR="00426520" w:rsidRPr="00B353EB" w:rsidRDefault="00E253D3" w:rsidP="00E253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Etape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3 : </w:t>
            </w:r>
            <w:r w:rsidR="00426520"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>Emettre des hypothèses sur l’histoire</w:t>
            </w:r>
          </w:p>
        </w:tc>
        <w:tc>
          <w:tcPr>
            <w:tcW w:w="1275" w:type="dxa"/>
            <w:vMerge/>
            <w:vAlign w:val="center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26520" w:rsidRPr="00426520" w:rsidRDefault="00232158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5’</w:t>
            </w:r>
          </w:p>
        </w:tc>
        <w:tc>
          <w:tcPr>
            <w:tcW w:w="1276" w:type="dxa"/>
            <w:vAlign w:val="center"/>
          </w:tcPr>
          <w:p w:rsidR="00426520" w:rsidRPr="00426520" w:rsidRDefault="00426520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232158" w:rsidRDefault="00232158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2321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Découverte de la 1</w:t>
            </w:r>
            <w:r w:rsidRPr="00232158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vertAlign w:val="superscript"/>
              </w:rPr>
              <w:t>ère</w:t>
            </w:r>
            <w:r w:rsidRPr="002321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page jusqu’à la pluie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Montrer chaque page sans faire de commentaires mais en laissant les LV observer et réagir le temps nécessaire.</w:t>
            </w:r>
          </w:p>
          <w:p w:rsidR="00B353EB" w:rsidRDefault="00B353EB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EB" w:rsidRDefault="00B353EB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Mise en commun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B353EB" w:rsidRPr="00426520" w:rsidRDefault="00B353EB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Faire réagir les PV : compréhension, lexique des couleurs, personnages…</w:t>
            </w:r>
          </w:p>
        </w:tc>
        <w:tc>
          <w:tcPr>
            <w:tcW w:w="1843" w:type="dxa"/>
            <w:vAlign w:val="center"/>
          </w:tcPr>
          <w:p w:rsidR="000F2D4D" w:rsidRDefault="000F2D4D" w:rsidP="000F2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Compréhension :</w:t>
            </w:r>
          </w:p>
          <w:p w:rsidR="00426520" w:rsidRDefault="000F2D4D" w:rsidP="000F2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</w:t>
            </w:r>
            <w:r w:rsidR="00B353EB" w:rsidRPr="00B353EB">
              <w:rPr>
                <w:rFonts w:ascii="Times New Roman" w:hAnsi="Times New Roman" w:cs="Times New Roman"/>
              </w:rPr>
              <w:t xml:space="preserve">permanence du personnage </w:t>
            </w:r>
          </w:p>
          <w:p w:rsidR="000F2D4D" w:rsidRPr="00B353EB" w:rsidRDefault="000F2D4D" w:rsidP="000F2D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* lien de causalité : ellipse </w:t>
            </w:r>
          </w:p>
        </w:tc>
      </w:tr>
      <w:tr w:rsidR="00B353EB" w:rsidRPr="00426520" w:rsidTr="00B353EB">
        <w:tc>
          <w:tcPr>
            <w:tcW w:w="1986" w:type="dxa"/>
            <w:vAlign w:val="center"/>
          </w:tcPr>
          <w:p w:rsidR="00E253D3" w:rsidRPr="00E253D3" w:rsidRDefault="00E253D3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E25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Etape 4 :</w:t>
            </w:r>
          </w:p>
          <w:p w:rsidR="00B353EB" w:rsidRPr="00E253D3" w:rsidRDefault="00B353EB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b/>
                <w:sz w:val="24"/>
                <w:szCs w:val="24"/>
              </w:rPr>
              <w:t>Lecture de l’album</w:t>
            </w:r>
          </w:p>
        </w:tc>
        <w:tc>
          <w:tcPr>
            <w:tcW w:w="1275" w:type="dxa"/>
            <w:vAlign w:val="center"/>
          </w:tcPr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Matin : </w:t>
            </w: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PS</w:t>
            </w: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Groupe</w:t>
            </w:r>
          </w:p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(5 ou 6 LV)</w:t>
            </w:r>
          </w:p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53EB" w:rsidRPr="00426520" w:rsidRDefault="00E253D3" w:rsidP="00E253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Après-midi</w:t>
            </w:r>
            <w:r w:rsidRPr="00E253D3">
              <w:rPr>
                <w:rFonts w:ascii="Times New Roman" w:hAnsi="Times New Roman" w:cs="Times New Roman"/>
                <w:sz w:val="20"/>
                <w:szCs w:val="20"/>
              </w:rPr>
              <w:t> : tous les MS</w:t>
            </w:r>
          </w:p>
        </w:tc>
        <w:tc>
          <w:tcPr>
            <w:tcW w:w="1134" w:type="dxa"/>
            <w:vAlign w:val="center"/>
          </w:tcPr>
          <w:p w:rsidR="00B353EB" w:rsidRDefault="00E253D3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353EB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</w:tc>
        <w:tc>
          <w:tcPr>
            <w:tcW w:w="1276" w:type="dxa"/>
            <w:vAlign w:val="center"/>
          </w:tcPr>
          <w:p w:rsidR="00B353EB" w:rsidRPr="00426520" w:rsidRDefault="00B353EB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Align w:val="center"/>
          </w:tcPr>
          <w:p w:rsidR="00B353EB" w:rsidRDefault="00B353EB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>Lecture de l’album de la 1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ère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page à la page de la « pluie 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&gt;&gt; Laisser réagir les LV</w:t>
            </w: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– 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>Lecture de la 2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nde</w:t>
            </w:r>
            <w:r w:rsidRPr="00B3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partie de l’histoire jusqu’à la fin</w:t>
            </w:r>
            <w:r w:rsidR="002F2F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– </w:t>
            </w:r>
            <w:r w:rsidRPr="002F2FE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Mise en commun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</w:p>
          <w:p w:rsidR="002F2FE7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&gt;&gt; De quoi parle le livre ? </w:t>
            </w:r>
          </w:p>
          <w:p w:rsidR="002F2FE7" w:rsidRDefault="002F2FE7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53EB" w:rsidRDefault="00B353EB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E7">
              <w:rPr>
                <w:rFonts w:ascii="Times New Roman" w:hAnsi="Times New Roman" w:cs="Times New Roman"/>
                <w:sz w:val="24"/>
                <w:szCs w:val="24"/>
                <w:u w:val="dotDotDash"/>
              </w:rPr>
              <w:t>Mobilisation du lexique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des couleurs,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rayé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arc-en-ciel…</w:t>
            </w:r>
          </w:p>
          <w:p w:rsidR="00E253D3" w:rsidRDefault="00E253D3" w:rsidP="00B353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D3" w:rsidRDefault="00E253D3" w:rsidP="00E253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– </w:t>
            </w:r>
            <w:r w:rsidRPr="00E253D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Petit jeu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montrer 1 page avec Pop et faire mobiliser les couleurs présentes… </w:t>
            </w:r>
          </w:p>
        </w:tc>
        <w:tc>
          <w:tcPr>
            <w:tcW w:w="1843" w:type="dxa"/>
            <w:vAlign w:val="bottom"/>
          </w:tcPr>
          <w:p w:rsidR="00E253D3" w:rsidRDefault="00B353EB" w:rsidP="002F2FE7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B353E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Si les LV tiennent…</w:t>
            </w:r>
          </w:p>
          <w:p w:rsidR="00E253D3" w:rsidRDefault="00E253D3" w:rsidP="00B353E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  <w:p w:rsidR="00E253D3" w:rsidRPr="00B353EB" w:rsidRDefault="00E253D3" w:rsidP="00B353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53D3" w:rsidRPr="00426520" w:rsidTr="00B353EB">
        <w:tc>
          <w:tcPr>
            <w:tcW w:w="1986" w:type="dxa"/>
            <w:vAlign w:val="center"/>
          </w:tcPr>
          <w:p w:rsidR="00E253D3" w:rsidRDefault="00E253D3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Etape 5 :</w:t>
            </w:r>
          </w:p>
          <w:p w:rsidR="00E253D3" w:rsidRPr="00E253D3" w:rsidRDefault="00E253D3" w:rsidP="00426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b/>
                <w:sz w:val="24"/>
                <w:szCs w:val="24"/>
              </w:rPr>
              <w:t>Réinvestissement</w:t>
            </w:r>
          </w:p>
        </w:tc>
        <w:tc>
          <w:tcPr>
            <w:tcW w:w="1275" w:type="dxa"/>
            <w:vAlign w:val="center"/>
          </w:tcPr>
          <w:p w:rsidR="00E253D3" w:rsidRPr="00E253D3" w:rsidRDefault="00E253D3" w:rsidP="00E253D3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Que les MS</w:t>
            </w:r>
          </w:p>
        </w:tc>
        <w:tc>
          <w:tcPr>
            <w:tcW w:w="1134" w:type="dxa"/>
            <w:vAlign w:val="center"/>
          </w:tcPr>
          <w:p w:rsidR="00E253D3" w:rsidRDefault="00E253D3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15’</w:t>
            </w:r>
          </w:p>
        </w:tc>
        <w:tc>
          <w:tcPr>
            <w:tcW w:w="1276" w:type="dxa"/>
            <w:vAlign w:val="center"/>
          </w:tcPr>
          <w:p w:rsidR="00E253D3" w:rsidRDefault="00E253D3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 agrandi sur A4</w:t>
            </w:r>
          </w:p>
          <w:p w:rsidR="00E253D3" w:rsidRPr="00426520" w:rsidRDefault="00E253D3" w:rsidP="004265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 par LV)</w:t>
            </w:r>
          </w:p>
        </w:tc>
        <w:tc>
          <w:tcPr>
            <w:tcW w:w="7796" w:type="dxa"/>
            <w:vAlign w:val="center"/>
          </w:tcPr>
          <w:p w:rsidR="00E253D3" w:rsidRDefault="00E253D3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Maintenant je vais vous distribuer à chacun un Pop que vous allez pouvoir décorer comme vous le souhaitez en utilisant le matériel à votre disposition</w:t>
            </w:r>
          </w:p>
          <w:p w:rsidR="00E253D3" w:rsidRDefault="00E253D3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3D3" w:rsidRDefault="00E253D3" w:rsidP="002321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3D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Matériel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: craies grasses, crayons, (feutres), fusains, gommettes…</w:t>
            </w:r>
          </w:p>
        </w:tc>
        <w:tc>
          <w:tcPr>
            <w:tcW w:w="1843" w:type="dxa"/>
            <w:vAlign w:val="bottom"/>
          </w:tcPr>
          <w:p w:rsidR="00E253D3" w:rsidRPr="00B353EB" w:rsidRDefault="00E253D3" w:rsidP="00B353EB">
            <w:pPr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</w:tbl>
    <w:p w:rsidR="00594E06" w:rsidRDefault="00594E06"/>
    <w:p w:rsidR="000A452F" w:rsidRPr="000A452F" w:rsidRDefault="000A452F">
      <w:pPr>
        <w:rPr>
          <w:color w:val="FF0000"/>
        </w:rPr>
      </w:pPr>
      <w:bookmarkStart w:id="0" w:name="_GoBack"/>
      <w:r w:rsidRPr="000A452F">
        <w:rPr>
          <w:color w:val="FF0000"/>
        </w:rPr>
        <w:t>W sur les lignes verticales : à l’index, au pinceau !</w:t>
      </w:r>
    </w:p>
    <w:bookmarkEnd w:id="0"/>
    <w:p w:rsidR="000A452F" w:rsidRDefault="000A452F"/>
    <w:p w:rsidR="00426520" w:rsidRDefault="00426520"/>
    <w:p w:rsidR="00E253D3" w:rsidRPr="00331E60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  <w:r w:rsidRPr="00331E60">
        <w:rPr>
          <w:rFonts w:cs="Times New Roman"/>
          <w:b/>
          <w:bCs/>
          <w:color w:val="000000"/>
          <w:szCs w:val="22"/>
        </w:rPr>
        <w:t xml:space="preserve">Retour réflexif </w:t>
      </w:r>
      <w:r w:rsidRPr="00331E60">
        <w:rPr>
          <w:rFonts w:cs="Times New Roman"/>
          <w:bCs/>
          <w:color w:val="000000"/>
          <w:szCs w:val="22"/>
        </w:rPr>
        <w:t>(les + et les -) :</w:t>
      </w:r>
    </w:p>
    <w:p w:rsidR="00E253D3" w:rsidRPr="00331E60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E253D3" w:rsidRDefault="00E253D3" w:rsidP="002F2FE7">
      <w:pPr>
        <w:pStyle w:val="TableContents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both"/>
        <w:rPr>
          <w:rFonts w:cs="Times New Roman"/>
          <w:bCs/>
          <w:color w:val="000000"/>
          <w:szCs w:val="22"/>
        </w:rPr>
      </w:pPr>
    </w:p>
    <w:p w:rsidR="00594E06" w:rsidRDefault="00594E06"/>
    <w:p w:rsidR="00594E06" w:rsidRDefault="00594E06"/>
    <w:p w:rsidR="00594E06" w:rsidRDefault="00594E06"/>
    <w:sectPr w:rsidR="00594E06" w:rsidSect="00B353EB">
      <w:pgSz w:w="16838" w:h="11906" w:orient="landscape"/>
      <w:pgMar w:top="964" w:right="96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ntium Book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A1B"/>
    <w:multiLevelType w:val="multilevel"/>
    <w:tmpl w:val="C7386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D438F1"/>
    <w:multiLevelType w:val="hybridMultilevel"/>
    <w:tmpl w:val="81A62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1191E"/>
    <w:multiLevelType w:val="multilevel"/>
    <w:tmpl w:val="0742C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C00A22"/>
    <w:multiLevelType w:val="multilevel"/>
    <w:tmpl w:val="BC0CA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06"/>
    <w:rsid w:val="000A452F"/>
    <w:rsid w:val="000F2D4D"/>
    <w:rsid w:val="00232158"/>
    <w:rsid w:val="002F2FE7"/>
    <w:rsid w:val="00426520"/>
    <w:rsid w:val="00594E06"/>
    <w:rsid w:val="00747368"/>
    <w:rsid w:val="007846E1"/>
    <w:rsid w:val="007F283F"/>
    <w:rsid w:val="00B353EB"/>
    <w:rsid w:val="00D540FF"/>
    <w:rsid w:val="00E25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4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4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4E0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F28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7846E1"/>
    <w:pPr>
      <w:ind w:left="720"/>
      <w:contextualSpacing/>
    </w:pPr>
  </w:style>
  <w:style w:type="paragraph" w:customStyle="1" w:styleId="TableContents">
    <w:name w:val="Table Contents"/>
    <w:basedOn w:val="Normal"/>
    <w:rsid w:val="00E253D3"/>
    <w:pPr>
      <w:widowControl w:val="0"/>
      <w:suppressLineNumbers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0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Nad</cp:lastModifiedBy>
  <cp:revision>8</cp:revision>
  <dcterms:created xsi:type="dcterms:W3CDTF">2013-11-27T09:56:00Z</dcterms:created>
  <dcterms:modified xsi:type="dcterms:W3CDTF">2013-12-05T13:07:00Z</dcterms:modified>
</cp:coreProperties>
</file>