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rFonts w:ascii="Noteworthy Light" w:cs="Noteworthy Light" w:hAnsi="Noteworthy Light" w:eastAsia="Noteworthy Light"/>
          <w:sz w:val="36"/>
          <w:szCs w:val="36"/>
        </w:rPr>
      </w:pPr>
      <w:r>
        <w:rPr>
          <w:rFonts w:ascii="Noteworthy Light" w:hAnsi="Noteworthy Light"/>
          <w:sz w:val="36"/>
          <w:szCs w:val="36"/>
          <w:rtl w:val="0"/>
          <w:lang w:val="fr-FR"/>
        </w:rPr>
        <w:t>Math</w:t>
      </w:r>
      <w:r>
        <w:rPr>
          <w:rFonts w:ascii="Noteworthy Light" w:hAnsi="Noteworthy Light" w:hint="default"/>
          <w:sz w:val="36"/>
          <w:szCs w:val="36"/>
          <w:rtl w:val="0"/>
          <w:lang w:val="fr-FR"/>
        </w:rPr>
        <w:t>é</w:t>
      </w:r>
      <w:r>
        <w:rPr>
          <w:rFonts w:ascii="Noteworthy Light" w:hAnsi="Noteworthy Light"/>
          <w:sz w:val="36"/>
          <w:szCs w:val="36"/>
          <w:rtl w:val="0"/>
          <w:lang w:val="fr-FR"/>
        </w:rPr>
        <w:t>ma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9147809</wp:posOffset>
                </wp:positionH>
                <wp:positionV relativeFrom="page">
                  <wp:posOffset>5834562</wp:posOffset>
                </wp:positionV>
                <wp:extent cx="1358900" cy="292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tlanta" w:hAnsi="Atlanta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sz w:val="22"/>
                                <w:szCs w:val="22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0.3pt;margin-top:459.4pt;width:107.0pt;height:2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tlanta" w:hAnsi="Atlanta" w:hint="default"/>
                          <w:sz w:val="22"/>
                          <w:szCs w:val="22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sz w:val="22"/>
                          <w:szCs w:val="22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sz w:val="22"/>
                          <w:szCs w:val="22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sz w:val="36"/>
          <w:szCs w:val="36"/>
          <w:rtl w:val="0"/>
          <w:lang w:val="fr-FR"/>
        </w:rPr>
        <w:t>tiques</w:t>
      </w: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08"/>
        <w:gridCol w:w="4018"/>
        <w:gridCol w:w="3815"/>
        <w:gridCol w:w="3331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40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MSN21 : g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om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de-DE"/>
              </w:rPr>
              <w:t>trie</w:t>
            </w:r>
          </w:p>
        </w:tc>
        <w:tc>
          <w:tcPr>
            <w:tcW w:type="dxa" w:w="40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MSN22 : num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ration</w:t>
            </w:r>
          </w:p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MSN23 : probl</w:t>
            </w:r>
            <w:r>
              <w:rPr>
                <w:b w:val="1"/>
                <w:bCs w:val="1"/>
                <w:rtl w:val="0"/>
                <w:lang w:val="fr-FR"/>
              </w:rPr>
              <w:t>è</w:t>
            </w:r>
            <w:r>
              <w:rPr>
                <w:b w:val="1"/>
                <w:bCs w:val="1"/>
                <w:rtl w:val="0"/>
                <w:lang w:val="fr-FR"/>
              </w:rPr>
              <w:t xml:space="preserve">mes </w:t>
            </w:r>
          </w:p>
        </w:tc>
        <w:tc>
          <w:tcPr>
            <w:tcW w:type="dxa" w:w="333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MSN24 : unit</w:t>
            </w:r>
            <w:r>
              <w:rPr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rtl w:val="0"/>
                <w:lang w:val="fr-FR"/>
              </w:rPr>
              <w:t>de grandeur</w:t>
            </w:r>
          </w:p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3408"/>
            <w:tcBorders>
              <w:top w:val="single" w:color="000000" w:sz="24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Figures g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triques (losange, triangle, carr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, rectangle, cercle)</w:t>
            </w:r>
          </w:p>
        </w:tc>
        <w:tc>
          <w:tcPr>
            <w:tcW w:type="dxa" w:w="4018"/>
            <w:tcBorders>
              <w:top w:val="single" w:color="000000" w:sz="24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compter de 1 en 1, 10 en 10, 100 en 100, 1000 en 1000</w:t>
            </w:r>
          </w:p>
        </w:tc>
        <w:tc>
          <w:tcPr>
            <w:tcW w:type="dxa" w:w="3814"/>
            <w:tcBorders>
              <w:top w:val="single" w:color="000000" w:sz="24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morisation du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pertoire soustractif de 0-0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</w:rPr>
              <w:t>19-9</w:t>
            </w:r>
          </w:p>
        </w:tc>
        <w:tc>
          <w:tcPr>
            <w:tcW w:type="dxa" w:w="3331"/>
            <w:tcBorders>
              <w:top w:val="single" w:color="000000" w:sz="24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estimation, comparaison, classement</w:t>
            </w:r>
          </w:p>
        </w:tc>
      </w:tr>
      <w:tr>
        <w:tblPrEx>
          <w:shd w:val="clear" w:color="auto" w:fill="cadfff"/>
        </w:tblPrEx>
        <w:trPr>
          <w:trHeight w:val="502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Parall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les et perpendiculaire</w:t>
            </w:r>
          </w:p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nombrer, constituer, estimation une grande collection, </w:t>
            </w:r>
          </w:p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morisation du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pertoire multiplicatif de 0x0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</w:rPr>
              <w:t>9x9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longueur, aire, volume, masse, temps</w:t>
            </w:r>
          </w:p>
        </w:tc>
      </w:tr>
      <w:tr>
        <w:tblPrEx>
          <w:shd w:val="clear" w:color="auto" w:fill="cadfff"/>
        </w:tblPrEx>
        <w:trPr>
          <w:trHeight w:val="537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Sym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>trie interne</w:t>
            </w:r>
          </w:p>
        </w:tc>
        <w:tc>
          <w:tcPr>
            <w:tcW w:type="dxa" w:w="40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comparer, classer, encadrer et intercaler un nombre</w:t>
            </w:r>
          </w:p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>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composition des nombres pour calculer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en-US"/>
              </w:rPr>
              <w:t>unit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(cm et m)</w:t>
            </w:r>
          </w:p>
        </w:tc>
      </w:tr>
      <w:tr>
        <w:tblPrEx>
          <w:shd w:val="clear" w:color="auto" w:fill="cadfff"/>
        </w:tblPrEx>
        <w:trPr>
          <w:trHeight w:val="982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Axe de sym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 xml:space="preserve">trie </w:t>
            </w:r>
          </w:p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extraction du nombre entier de dizaine, centaines, milliers</w:t>
            </w:r>
          </w:p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it-IT"/>
              </w:rPr>
              <w:t>propri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de 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addition et de la multiplication (commutativit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, associativit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), introduction des 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gles avec les parenth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</w:rPr>
              <w:t>ses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en-US"/>
              </w:rPr>
              <w:t>unit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non conventionnelle (nombre de carr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s, de rectangles, etc)</w:t>
            </w:r>
          </w:p>
        </w:tc>
      </w:tr>
      <w:tr>
        <w:tblPrEx>
          <w:shd w:val="clear" w:color="auto" w:fill="cadfff"/>
        </w:tblPrEx>
        <w:trPr>
          <w:trHeight w:val="794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en-US"/>
              </w:rPr>
              <w:t xml:space="preserve">Translation, rotation </w:t>
            </w:r>
          </w:p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production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un nombre plus petit ou plus grand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une unit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,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une dizaine,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une centaine</w:t>
            </w:r>
          </w:p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addition et soustractions en colonnes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340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Solides (cube, pyramide, parall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pip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es-ES_tradnl"/>
              </w:rPr>
              <w:t>de rectangle</w:t>
            </w:r>
          </w:p>
        </w:tc>
        <w:tc>
          <w:tcPr>
            <w:tcW w:type="dxa" w:w="40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 xml:space="preserve">passage mot-nombre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it-IT"/>
              </w:rPr>
              <w:t>sa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composition et inversement</w:t>
            </w:r>
          </w:p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 xml:space="preserve">multiplication en colonnes 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it-IT"/>
              </w:rPr>
              <w:t>Arr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tes, faces, sommets</w:t>
            </w:r>
          </w:p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 xml:space="preserve">passage du mot nombre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en-US"/>
              </w:rPr>
              <w:t xml:space="preserve">son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criture chiffr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et inversement</w:t>
            </w:r>
          </w:p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en-US"/>
              </w:rPr>
              <w:t>suites arithm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tiques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Solides et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veloppement </w:t>
            </w:r>
          </w:p>
        </w:tc>
        <w:tc>
          <w:tcPr>
            <w:tcW w:type="dxa" w:w="401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exploration des autres syst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mes d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critures (Egypte, Mayas, etc)</w:t>
            </w:r>
          </w:p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fr-FR"/>
              </w:rPr>
              <w:t>multiples, diviseurs 2, 5, 10, 100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40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en-US"/>
              </w:rPr>
              <w:t>itin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raire</w:t>
            </w:r>
          </w:p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</w:rPr>
              <w:t xml:space="preserve">calculatrice </w:t>
            </w:r>
          </w:p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2" w:hRule="atLeast"/>
        </w:trPr>
        <w:tc>
          <w:tcPr>
            <w:tcW w:type="dxa" w:w="340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1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tl w:val="0"/>
                <w:lang w:val="de-DE"/>
              </w:rPr>
              <w:t>Probl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mes : 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</w:rPr>
              <w:t>10</w:t>
            </w:r>
            <w:r>
              <w:rPr>
                <w:rtl w:val="0"/>
              </w:rPr>
              <w:t>’</w:t>
            </w:r>
            <w:r>
              <w:rPr>
                <w:rtl w:val="0"/>
                <w:lang w:val="it-IT"/>
              </w:rPr>
              <w:t>000, tri,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marche, ajustement, 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rification, communication </w:t>
            </w:r>
          </w:p>
        </w:tc>
      </w:tr>
    </w:tbl>
    <w:p>
      <w:pPr>
        <w:pStyle w:val="Corps A"/>
        <w:widowControl w:val="0"/>
        <w:ind w:left="108" w:hanging="108"/>
      </w:pPr>
      <w:r>
        <w:rPr>
          <w:rFonts w:ascii="Noteworthy Light" w:cs="Noteworthy Light" w:hAnsi="Noteworthy Light" w:eastAsia="Noteworthy Light"/>
          <w:sz w:val="36"/>
          <w:szCs w:val="36"/>
        </w:rPr>
      </w:r>
    </w:p>
    <w:sectPr>
      <w:headerReference w:type="default" r:id="rId4"/>
      <w:footerReference w:type="default" r:id="rId5"/>
      <w:pgSz w:w="16840" w:h="11900" w:orient="landscape"/>
      <w:pgMar w:top="36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  <w:font w:name="Atlan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