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27"/>
      </w:tblGrid>
      <w:tr>
        <w:tblPrEx>
          <w:shd w:val="clear" w:color="auto" w:fill="ffffff"/>
        </w:tblPrEx>
        <w:trPr>
          <w:trHeight w:val="990" w:hRule="atLeast"/>
        </w:trPr>
        <w:tc>
          <w:tcPr>
            <w:tcW w:type="dxa" w:w="962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Style w:val="Aucun"/>
                <w:rFonts w:ascii="Century Gothic" w:cs="Century Gothic" w:hAnsi="Century Gothic" w:eastAsia="Century Gothic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Domaine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: Lecture et compr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hension de l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crit </w:t>
            </w:r>
            <w:r>
              <w:rPr>
                <w:rStyle w:val="Aucun"/>
                <w:rFonts w:ascii="Century Gothic" w:hAnsi="Century Gothic"/>
                <w:b w:val="0"/>
                <w:bCs w:val="0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Par défaut"/>
              <w:bidi w:val="0"/>
              <w:spacing w:after="12" w:line="256" w:lineRule="auto"/>
              <w:ind w:left="0" w:right="0" w:firstLine="0"/>
              <w:jc w:val="left"/>
              <w:rPr>
                <w:rStyle w:val="Aucun"/>
                <w:rFonts w:ascii="Century Gothic" w:cs="Century Gothic" w:hAnsi="Century Gothic" w:eastAsia="Century Gothic"/>
                <w:i w:val="0"/>
                <w:iCs w:val="0"/>
                <w:color w:val="1f1e1e"/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i w:val="0"/>
                <w:iCs w:val="0"/>
                <w:color w:val="1f1e1e"/>
                <w:rtl w:val="0"/>
                <w:lang w:val="fr-FR"/>
              </w:rPr>
              <w:t>Comprendre un texte</w:t>
            </w:r>
            <w:r>
              <w:rPr>
                <w:rFonts w:ascii="Century Gothic" w:hAnsi="Century Gothic"/>
                <w:i w:val="1"/>
                <w:iCs w:val="1"/>
                <w:color w:val="1f1e1e"/>
                <w:rtl w:val="0"/>
              </w:rPr>
              <w:t xml:space="preserve"> </w:t>
            </w:r>
            <w:r>
              <w:rPr>
                <w:rStyle w:val="Aucun"/>
                <w:rFonts w:ascii="Century Gothic" w:hAnsi="Century Gothic"/>
                <w:i w:val="0"/>
                <w:iCs w:val="0"/>
                <w:color w:val="1f1e1e"/>
                <w:rtl w:val="0"/>
              </w:rPr>
              <w:t>(</w:t>
            </w:r>
            <w:r>
              <w:rPr>
                <w:rStyle w:val="Aucun"/>
                <w:rFonts w:ascii="Century Gothic" w:hAnsi="Century Gothic"/>
                <w:i w:val="1"/>
                <w:iCs w:val="1"/>
                <w:color w:val="1f1e1e"/>
                <w:u w:val="single" w:color="1f1e1e"/>
                <w:rtl w:val="0"/>
                <w:lang w:val="fr-FR"/>
              </w:rPr>
              <w:t>lien avec l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color w:val="1f1e1e"/>
                <w:u w:val="single" w:color="1f1e1e"/>
                <w:rtl w:val="0"/>
                <w:lang w:val="fr-FR"/>
              </w:rPr>
              <w:t>’é</w:t>
            </w:r>
            <w:r>
              <w:rPr>
                <w:rStyle w:val="Aucun"/>
                <w:rFonts w:ascii="Century Gothic" w:hAnsi="Century Gothic"/>
                <w:i w:val="1"/>
                <w:iCs w:val="1"/>
                <w:color w:val="1f1e1e"/>
                <w:u w:val="single" w:color="1f1e1e"/>
                <w:rtl w:val="0"/>
                <w:lang w:val="fr-FR"/>
              </w:rPr>
              <w:t>criture</w:t>
            </w:r>
            <w:r>
              <w:rPr>
                <w:rStyle w:val="Aucun"/>
                <w:rFonts w:ascii="Century Gothic" w:hAnsi="Century Gothic"/>
                <w:i w:val="1"/>
                <w:iCs w:val="1"/>
                <w:color w:val="1f1e1e"/>
                <w:u w:val="single" w:color="1f1e1e"/>
                <w:rtl w:val="0"/>
                <w:lang w:val="fr-FR"/>
              </w:rPr>
              <w:t>)</w:t>
            </w:r>
          </w:p>
          <w:p>
            <w:pPr>
              <w:pStyle w:val="Par défaut"/>
              <w:bidi w:val="0"/>
              <w:spacing w:after="7" w:line="25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color w:val="1f1e1e"/>
                <w:rtl w:val="0"/>
                <w:lang w:val="fr-FR"/>
              </w:rPr>
              <w:t>Mobilisation de la comp</w:t>
            </w:r>
            <w:r>
              <w:rPr>
                <w:rFonts w:ascii="Century Gothic" w:hAnsi="Century Gothic" w:hint="default"/>
                <w:color w:val="1f1e1e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color w:val="1f1e1e"/>
                <w:rtl w:val="0"/>
                <w:lang w:val="fr-FR"/>
              </w:rPr>
              <w:t>tence de d</w:t>
            </w:r>
            <w:r>
              <w:rPr>
                <w:rFonts w:ascii="Century Gothic" w:hAnsi="Century Gothic" w:hint="default"/>
                <w:color w:val="1f1e1e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color w:val="1f1e1e"/>
                <w:rtl w:val="0"/>
                <w:lang w:val="it-IT"/>
              </w:rPr>
              <w:t>codage.</w:t>
            </w:r>
          </w:p>
        </w:tc>
      </w:tr>
      <w:tr>
        <w:tblPrEx>
          <w:shd w:val="clear" w:color="auto" w:fill="ffffff"/>
        </w:tblPrEx>
        <w:trPr>
          <w:trHeight w:val="910" w:hRule="atLeast"/>
        </w:trPr>
        <w:tc>
          <w:tcPr>
            <w:tcW w:type="dxa" w:w="962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pt-PT"/>
              </w:rPr>
              <w:t>Comp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tence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 xml:space="preserve"> Mobilisation des exp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riences ant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rieures de lecture et des connaissances qui en sont issues (sur des univers, des personnages-types, des scripts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</w:rPr>
              <w:t>…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>).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962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Crit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re de r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ussite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962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it-IT"/>
              </w:rPr>
              <w:t>Consigne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Aucun">
    <w:name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