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b/>
          <w:b/>
          <w:color w:val="1F497D" w:themeColor="text2"/>
          <w:sz w:val="10"/>
          <w:szCs w:val="10"/>
          <w:u w:val="single"/>
        </w:rPr>
      </w:pPr>
      <w:r>
        <w:rPr>
          <w:b/>
          <w:color w:val="1F497D" w:themeColor="text2"/>
          <w:sz w:val="10"/>
          <w:szCs w:val="10"/>
          <w:u w:val="single"/>
        </w:rPr>
      </w:r>
    </w:p>
    <w:tbl>
      <w:tblPr>
        <w:tblStyle w:val="Grilledutableau"/>
        <w:tblW w:w="21087" w:type="dxa"/>
        <w:jc w:val="left"/>
        <w:tblInd w:w="-15" w:type="dxa"/>
        <w:tblCellMar>
          <w:top w:w="0" w:type="dxa"/>
          <w:left w:w="93" w:type="dxa"/>
          <w:bottom w:w="0" w:type="dxa"/>
          <w:right w:w="108" w:type="dxa"/>
        </w:tblCellMar>
        <w:tblLook w:firstRow="0" w:noVBand="1" w:lastRow="0" w:firstColumn="1" w:lastColumn="0" w:noHBand="0" w:val="0480"/>
      </w:tblPr>
      <w:tblGrid>
        <w:gridCol w:w="3369"/>
        <w:gridCol w:w="3402"/>
        <w:gridCol w:w="2268"/>
        <w:gridCol w:w="3684"/>
        <w:gridCol w:w="1985"/>
        <w:gridCol w:w="3118"/>
        <w:gridCol w:w="3260"/>
      </w:tblGrid>
      <w:tr>
        <w:trPr>
          <w:trHeight w:val="652" w:hRule="atLeast"/>
        </w:trPr>
        <w:tc>
          <w:tcPr>
            <w:tcW w:w="21086" w:type="dxa"/>
            <w:gridSpan w:val="7"/>
            <w:tcBorders/>
            <w:shd w:color="auto" w:fill="92CDDC" w:themeFill="accent5" w:themeFillTint="99" w:val="clear"/>
            <w:tcMar>
              <w:left w:w="93" w:type="dxa"/>
            </w:tcMar>
            <w:vAlign w:val="center"/>
          </w:tcPr>
          <w:p>
            <w:pPr>
              <w:pStyle w:val="Normal"/>
              <w:spacing w:lineRule="auto" w:line="240" w:before="0" w:after="0"/>
              <w:rPr>
                <w:b/>
                <w:b/>
                <w:color w:val="E36C0A" w:themeColor="accent6" w:themeShade="bf"/>
                <w:sz w:val="32"/>
                <w:szCs w:val="32"/>
              </w:rPr>
            </w:pPr>
            <w:r>
              <w:rPr>
                <w:b/>
                <w:color w:val="FF0000"/>
                <w:sz w:val="36"/>
                <w:szCs w:val="36"/>
              </w:rPr>
              <w:t xml:space="preserve">Projet innovant Mathématique </w:t>
            </w:r>
            <w:bookmarkStart w:id="0" w:name="_GoBack"/>
            <w:bookmarkEnd w:id="0"/>
            <w:r>
              <w:rPr>
                <w:b/>
                <w:color w:val="E36C0A" w:themeColor="accent6" w:themeShade="bf"/>
                <w:sz w:val="52"/>
                <w:szCs w:val="52"/>
              </w:rPr>
              <w:t>Ludimatherésa</w:t>
            </w:r>
          </w:p>
        </w:tc>
      </w:tr>
      <w:tr>
        <w:trPr>
          <w:trHeight w:val="652" w:hRule="atLeast"/>
        </w:trPr>
        <w:tc>
          <w:tcPr>
            <w:tcW w:w="21086" w:type="dxa"/>
            <w:gridSpan w:val="7"/>
            <w:tcBorders/>
            <w:shd w:color="auto" w:fill="92CDDC" w:themeFill="accent5" w:themeFillTint="99" w:val="clear"/>
            <w:tcMar>
              <w:left w:w="93" w:type="dxa"/>
            </w:tcMar>
            <w:vAlign w:val="center"/>
          </w:tcPr>
          <w:p>
            <w:pPr>
              <w:pStyle w:val="Normal"/>
              <w:spacing w:lineRule="auto" w:line="240" w:before="0" w:after="0"/>
              <w:jc w:val="both"/>
              <w:rPr/>
            </w:pPr>
            <w:r>
              <w:rPr>
                <w:b/>
                <w:color w:val="FF0000"/>
                <w:sz w:val="24"/>
                <w:szCs w:val="24"/>
              </w:rPr>
              <w:t>Les jeux mathématiques fabriqués en maternelle répondent aux besoins spécifiques de manipulation et de sensorialité de l’enfant tout en assurant son développement moteur cognitif langagier psychoaffectif culturel. On peut proposer des situations de recherche ouvertes sur l’action et le questionnement pour permettre de réels progrès mathématiques. Ces jeux  c’est prendre en compte l’autre, respecter un ordre de passage, comprendre et suivre les règles, considérer les actions des autres joueurs entrer en communication avec l’autre.Utilis</w:t>
            </w:r>
            <w:r>
              <w:rPr>
                <w:b/>
                <w:color w:val="FF0000"/>
                <w:sz w:val="24"/>
                <w:szCs w:val="24"/>
              </w:rPr>
              <w:t xml:space="preserve">er </w:t>
            </w:r>
            <w:r>
              <w:rPr>
                <w:b/>
                <w:color w:val="FF0000"/>
                <w:sz w:val="24"/>
                <w:szCs w:val="24"/>
              </w:rPr>
              <w:t>compr</w:t>
            </w:r>
            <w:r>
              <w:rPr>
                <w:b/>
                <w:color w:val="FF0000"/>
                <w:sz w:val="24"/>
                <w:szCs w:val="24"/>
              </w:rPr>
              <w:t>endre</w:t>
            </w:r>
            <w:r>
              <w:rPr>
                <w:b/>
                <w:color w:val="FF0000"/>
                <w:sz w:val="24"/>
                <w:szCs w:val="24"/>
              </w:rPr>
              <w:t xml:space="preserve"> des nombres des codages des formes . </w:t>
            </w:r>
            <w:r>
              <w:rPr>
                <w:b/>
                <w:color w:val="FF0000"/>
                <w:sz w:val="24"/>
                <w:szCs w:val="24"/>
              </w:rPr>
              <w:t>Résoudre des p</w:t>
            </w:r>
            <w:r>
              <w:rPr>
                <w:b/>
                <w:color w:val="FF0000"/>
                <w:sz w:val="24"/>
                <w:szCs w:val="24"/>
              </w:rPr>
              <w:t>etits problèmes ludiques de nombres de codages de formes.</w:t>
            </w:r>
          </w:p>
        </w:tc>
      </w:tr>
      <w:tr>
        <w:trPr/>
        <w:tc>
          <w:tcPr>
            <w:tcW w:w="3369" w:type="dxa"/>
            <w:tcBorders>
              <w:right w:val="single" w:sz="2" w:space="0" w:color="00000A"/>
              <w:insideV w:val="single" w:sz="2" w:space="0" w:color="00000A"/>
            </w:tcBorders>
            <w:shd w:fill="auto" w:val="clear"/>
            <w:tcMar>
              <w:left w:w="93" w:type="dxa"/>
            </w:tcMar>
          </w:tcPr>
          <w:p>
            <w:pPr>
              <w:pStyle w:val="Normal"/>
              <w:spacing w:lineRule="auto" w:line="240" w:before="0" w:after="0"/>
              <w:rPr>
                <w:b/>
                <w:b/>
                <w:color w:val="1F497D" w:themeColor="text2"/>
                <w:sz w:val="20"/>
                <w:szCs w:val="20"/>
              </w:rPr>
            </w:pPr>
            <w:r>
              <w:rPr>
                <w:b/>
                <w:color w:val="1F497D" w:themeColor="text2"/>
                <w:sz w:val="20"/>
                <w:szCs w:val="20"/>
              </w:rPr>
              <w:t xml:space="preserve">IDENTIFICATION DES ACTIONS A MENER / POUR QUELS EFFETS ATTENDUS ? </w:t>
            </w:r>
          </w:p>
        </w:tc>
        <w:tc>
          <w:tcPr>
            <w:tcW w:w="3402" w:type="dxa"/>
            <w:tcBorders>
              <w:left w:val="single" w:sz="2" w:space="0" w:color="00000A"/>
              <w:right w:val="single" w:sz="2" w:space="0" w:color="00000A"/>
              <w:insideV w:val="single" w:sz="2" w:space="0" w:color="00000A"/>
            </w:tcBorders>
            <w:shd w:fill="auto" w:val="clear"/>
            <w:tcMar>
              <w:left w:w="101" w:type="dxa"/>
            </w:tcMar>
          </w:tcPr>
          <w:p>
            <w:pPr>
              <w:pStyle w:val="Normal"/>
              <w:spacing w:lineRule="auto" w:line="240" w:before="0" w:after="0"/>
              <w:rPr>
                <w:b/>
                <w:b/>
                <w:color w:val="1F497D" w:themeColor="text2"/>
                <w:sz w:val="20"/>
                <w:szCs w:val="20"/>
              </w:rPr>
            </w:pPr>
            <w:r>
              <w:rPr>
                <w:b/>
                <w:color w:val="1F497D" w:themeColor="text2"/>
                <w:sz w:val="20"/>
                <w:szCs w:val="20"/>
              </w:rPr>
              <w:t>ACTIVITÉS /  QUOI FAIRE ?</w:t>
            </w:r>
          </w:p>
          <w:p>
            <w:pPr>
              <w:pStyle w:val="Normal"/>
              <w:spacing w:lineRule="auto" w:line="240" w:before="0" w:after="0"/>
              <w:rPr>
                <w:b/>
                <w:b/>
                <w:color w:val="1F497D" w:themeColor="text2"/>
                <w:sz w:val="20"/>
                <w:szCs w:val="20"/>
              </w:rPr>
            </w:pPr>
            <w:r>
              <w:rPr>
                <w:b/>
                <w:color w:val="1F497D" w:themeColor="text2"/>
                <w:sz w:val="20"/>
                <w:szCs w:val="20"/>
              </w:rPr>
            </w:r>
          </w:p>
          <w:p>
            <w:pPr>
              <w:pStyle w:val="Normal"/>
              <w:spacing w:lineRule="auto" w:line="240" w:before="0" w:after="0"/>
              <w:rPr>
                <w:b/>
                <w:b/>
                <w:color w:val="1F497D" w:themeColor="text2"/>
                <w:sz w:val="20"/>
                <w:szCs w:val="20"/>
              </w:rPr>
            </w:pPr>
            <w:r>
              <w:rPr>
                <w:b/>
                <w:color w:val="1F497D" w:themeColor="text2"/>
                <w:sz w:val="20"/>
                <w:szCs w:val="20"/>
              </w:rPr>
            </w:r>
          </w:p>
          <w:p>
            <w:pPr>
              <w:pStyle w:val="Normal"/>
              <w:spacing w:lineRule="auto" w:line="240" w:before="0" w:after="0"/>
              <w:rPr>
                <w:b/>
                <w:b/>
                <w:color w:val="1F497D" w:themeColor="text2"/>
                <w:sz w:val="20"/>
                <w:szCs w:val="20"/>
              </w:rPr>
            </w:pPr>
            <w:r>
              <w:rPr>
                <w:b/>
                <w:color w:val="1F497D" w:themeColor="text2"/>
                <w:sz w:val="20"/>
                <w:szCs w:val="20"/>
              </w:rPr>
            </w:r>
          </w:p>
        </w:tc>
        <w:tc>
          <w:tcPr>
            <w:tcW w:w="2268" w:type="dxa"/>
            <w:tcBorders>
              <w:left w:val="single" w:sz="2" w:space="0" w:color="00000A"/>
            </w:tcBorders>
            <w:shd w:fill="auto" w:val="clear"/>
            <w:tcMar>
              <w:left w:w="101" w:type="dxa"/>
            </w:tcMar>
          </w:tcPr>
          <w:p>
            <w:pPr>
              <w:pStyle w:val="Normal"/>
              <w:spacing w:lineRule="auto" w:line="240" w:before="0" w:after="0"/>
              <w:rPr>
                <w:b/>
                <w:b/>
                <w:color w:val="1F497D" w:themeColor="text2"/>
                <w:sz w:val="20"/>
                <w:szCs w:val="20"/>
              </w:rPr>
            </w:pPr>
            <w:r>
              <w:rPr>
                <w:b/>
                <w:color w:val="1F497D" w:themeColor="text2"/>
                <w:sz w:val="20"/>
                <w:szCs w:val="20"/>
              </w:rPr>
              <w:t>RESPONSABLE(s) / QUI ?</w:t>
            </w:r>
          </w:p>
          <w:p>
            <w:pPr>
              <w:pStyle w:val="Normal"/>
              <w:spacing w:lineRule="auto" w:line="240" w:before="0" w:after="0"/>
              <w:rPr>
                <w:b/>
                <w:b/>
                <w:color w:val="1F497D" w:themeColor="text2"/>
                <w:sz w:val="20"/>
                <w:szCs w:val="20"/>
              </w:rPr>
            </w:pPr>
            <w:r>
              <w:rPr>
                <w:b/>
                <w:color w:val="1F497D" w:themeColor="text2"/>
                <w:sz w:val="20"/>
                <w:szCs w:val="20"/>
              </w:rPr>
            </w:r>
          </w:p>
          <w:p>
            <w:pPr>
              <w:pStyle w:val="Normal"/>
              <w:spacing w:lineRule="auto" w:line="240" w:before="0" w:after="0"/>
              <w:rPr>
                <w:b/>
                <w:b/>
                <w:color w:val="1F497D" w:themeColor="text2"/>
                <w:sz w:val="20"/>
                <w:szCs w:val="20"/>
              </w:rPr>
            </w:pPr>
            <w:r>
              <w:rPr>
                <w:b/>
                <w:color w:val="1F497D" w:themeColor="text2"/>
                <w:sz w:val="20"/>
                <w:szCs w:val="20"/>
              </w:rPr>
            </w:r>
          </w:p>
        </w:tc>
        <w:tc>
          <w:tcPr>
            <w:tcW w:w="3684" w:type="dxa"/>
            <w:tcBorders>
              <w:left w:val="single" w:sz="2" w:space="0" w:color="00000A"/>
              <w:right w:val="single" w:sz="2" w:space="0" w:color="00000A"/>
              <w:insideV w:val="single" w:sz="2" w:space="0" w:color="00000A"/>
            </w:tcBorders>
            <w:shd w:fill="auto" w:val="clear"/>
            <w:tcMar>
              <w:left w:w="99" w:type="dxa"/>
            </w:tcMar>
          </w:tcPr>
          <w:p>
            <w:pPr>
              <w:pStyle w:val="Normal"/>
              <w:spacing w:lineRule="auto" w:line="240" w:before="0" w:after="0"/>
              <w:rPr>
                <w:b/>
                <w:b/>
                <w:color w:val="1F497D" w:themeColor="text2"/>
                <w:sz w:val="20"/>
                <w:szCs w:val="20"/>
              </w:rPr>
            </w:pPr>
            <w:r>
              <w:rPr>
                <w:b/>
                <w:color w:val="1F497D" w:themeColor="text2"/>
                <w:sz w:val="20"/>
                <w:szCs w:val="20"/>
              </w:rPr>
              <w:t>OPÉRATIONS / COMMENT ?</w:t>
            </w:r>
          </w:p>
        </w:tc>
        <w:tc>
          <w:tcPr>
            <w:tcW w:w="1985" w:type="dxa"/>
            <w:tcBorders>
              <w:left w:val="single" w:sz="2" w:space="0" w:color="00000A"/>
            </w:tcBorders>
            <w:shd w:fill="auto" w:val="clear"/>
            <w:tcMar>
              <w:left w:w="101" w:type="dxa"/>
            </w:tcMar>
          </w:tcPr>
          <w:p>
            <w:pPr>
              <w:pStyle w:val="Normal"/>
              <w:spacing w:lineRule="auto" w:line="240" w:before="0" w:after="0"/>
              <w:rPr>
                <w:b/>
                <w:b/>
                <w:color w:val="1F497D" w:themeColor="text2"/>
                <w:sz w:val="20"/>
                <w:szCs w:val="20"/>
              </w:rPr>
            </w:pPr>
            <w:r>
              <w:rPr>
                <w:b/>
                <w:color w:val="1F497D" w:themeColor="text2"/>
                <w:sz w:val="20"/>
                <w:szCs w:val="20"/>
              </w:rPr>
              <w:t>ECHANCIER / QUAND ?</w:t>
            </w:r>
          </w:p>
        </w:tc>
        <w:tc>
          <w:tcPr>
            <w:tcW w:w="3118" w:type="dxa"/>
            <w:tcBorders>
              <w:left w:val="single" w:sz="2" w:space="0" w:color="00000A"/>
              <w:right w:val="single" w:sz="2" w:space="0" w:color="00000A"/>
              <w:insideV w:val="single" w:sz="2" w:space="0" w:color="00000A"/>
            </w:tcBorders>
            <w:shd w:color="auto" w:fill="D9D9D9" w:themeFill="background1" w:themeFillShade="d9" w:val="clear"/>
            <w:tcMar>
              <w:left w:w="99" w:type="dxa"/>
            </w:tcMar>
          </w:tcPr>
          <w:p>
            <w:pPr>
              <w:pStyle w:val="Normal"/>
              <w:spacing w:lineRule="auto" w:line="240" w:before="0" w:after="0"/>
              <w:rPr>
                <w:b/>
                <w:b/>
                <w:color w:val="1F497D" w:themeColor="text2"/>
                <w:sz w:val="20"/>
                <w:szCs w:val="20"/>
              </w:rPr>
            </w:pPr>
            <w:r>
              <w:rPr>
                <w:b/>
                <w:color w:val="1F497D" w:themeColor="text2"/>
                <w:sz w:val="20"/>
                <w:szCs w:val="20"/>
              </w:rPr>
              <w:t>RÉSULTATS OBTENUS / AVANCEMENT A DATE</w:t>
            </w:r>
          </w:p>
        </w:tc>
        <w:tc>
          <w:tcPr>
            <w:tcW w:w="3260" w:type="dxa"/>
            <w:tcBorders>
              <w:left w:val="single" w:sz="2" w:space="0" w:color="00000A"/>
            </w:tcBorders>
            <w:shd w:color="auto" w:fill="D9D9D9" w:themeFill="background1" w:themeFillShade="d9" w:val="clear"/>
            <w:tcMar>
              <w:left w:w="101" w:type="dxa"/>
            </w:tcMar>
          </w:tcPr>
          <w:p>
            <w:pPr>
              <w:pStyle w:val="Normal"/>
              <w:spacing w:lineRule="auto" w:line="240" w:before="0" w:after="0"/>
              <w:rPr>
                <w:b/>
                <w:b/>
                <w:color w:val="1F497D" w:themeColor="text2"/>
                <w:sz w:val="20"/>
                <w:szCs w:val="20"/>
              </w:rPr>
            </w:pPr>
            <w:r>
              <w:rPr>
                <w:b/>
                <w:color w:val="1F497D" w:themeColor="text2"/>
                <w:sz w:val="20"/>
                <w:szCs w:val="20"/>
              </w:rPr>
              <w:t>EXPLICATION DES ÉCARTS / COMMENTAIRES</w:t>
            </w:r>
          </w:p>
        </w:tc>
      </w:tr>
      <w:tr>
        <w:trPr>
          <w:trHeight w:val="2220" w:hRule="atLeast"/>
        </w:trPr>
        <w:tc>
          <w:tcPr>
            <w:tcW w:w="3369" w:type="dxa"/>
            <w:tcBorders>
              <w:right w:val="single" w:sz="2" w:space="0" w:color="00000A"/>
              <w:insideV w:val="single" w:sz="2" w:space="0" w:color="00000A"/>
            </w:tcBorders>
            <w:shd w:fill="auto" w:val="clear"/>
            <w:tcMar>
              <w:left w:w="93" w:type="dxa"/>
            </w:tcMar>
          </w:tcPr>
          <w:p>
            <w:pPr>
              <w:pStyle w:val="Normal"/>
              <w:spacing w:lineRule="auto" w:line="240" w:before="0" w:after="0"/>
              <w:rPr>
                <w:color w:val="E36C0A" w:themeColor="accent6" w:themeShade="bf"/>
              </w:rPr>
            </w:pPr>
            <w:r>
              <w:rPr>
                <w:color w:val="E36C0A" w:themeColor="accent6" w:themeShade="bf"/>
              </w:rPr>
              <w:t>Petits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Tenir compte des règles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Admettre que le plateau de jeu est pour tous les joueurs</w:t>
            </w:r>
          </w:p>
        </w:tc>
        <w:tc>
          <w:tcPr>
            <w:tcW w:w="3402" w:type="dxa"/>
            <w:tcBorders>
              <w:left w:val="single" w:sz="2" w:space="0" w:color="00000A"/>
              <w:right w:val="single" w:sz="2" w:space="0" w:color="00000A"/>
              <w:insideV w:val="single" w:sz="2" w:space="0" w:color="00000A"/>
            </w:tcBorders>
            <w:shd w:fill="auto" w:val="clear"/>
            <w:tcMar>
              <w:left w:w="101" w:type="dxa"/>
            </w:tcMar>
          </w:tcPr>
          <w:p>
            <w:pPr>
              <w:pStyle w:val="ListParagraph"/>
              <w:numPr>
                <w:ilvl w:val="0"/>
                <w:numId w:val="1"/>
              </w:numPr>
              <w:spacing w:lineRule="auto" w:line="240" w:before="0" w:after="0"/>
              <w:contextualSpacing/>
              <w:rPr>
                <w:color w:val="E36C0A" w:themeColor="accent6" w:themeShade="bf"/>
              </w:rPr>
            </w:pPr>
            <w:r>
              <w:rPr>
                <w:color w:val="E36C0A" w:themeColor="accent6" w:themeShade="bf"/>
              </w:rPr>
              <w:t>Associer une couleur sur la face du dé et une couleur sur un chemin en suivant un déplacement orienté</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Reconnaître globalement les 4 premières constellations, répéter leur nom</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Faire une correspondance terme à terme entre deux ensembles dont les éléments ont même forme même taille ou non</w:t>
            </w:r>
          </w:p>
        </w:tc>
        <w:tc>
          <w:tcPr>
            <w:tcW w:w="2268" w:type="dxa"/>
            <w:tcBorders>
              <w:left w:val="single" w:sz="2" w:space="0" w:color="00000A"/>
            </w:tcBorders>
            <w:shd w:fill="auto" w:val="clear"/>
            <w:tcMar>
              <w:left w:w="101" w:type="dxa"/>
            </w:tcMar>
          </w:tcPr>
          <w:p>
            <w:pPr>
              <w:pStyle w:val="Normal"/>
              <w:spacing w:lineRule="auto" w:line="240" w:before="0" w:after="0"/>
              <w:rPr>
                <w:color w:val="E36C0A" w:themeColor="accent6" w:themeShade="bf"/>
              </w:rPr>
            </w:pPr>
            <w:r>
              <w:rPr>
                <w:color w:val="E36C0A" w:themeColor="accent6" w:themeShade="bf"/>
              </w:rPr>
              <w:t>Professeur d’école</w:t>
            </w:r>
          </w:p>
        </w:tc>
        <w:tc>
          <w:tcPr>
            <w:tcW w:w="3684" w:type="dxa"/>
            <w:tcBorders>
              <w:left w:val="single" w:sz="2" w:space="0" w:color="00000A"/>
              <w:right w:val="single" w:sz="2" w:space="0" w:color="00000A"/>
              <w:insideV w:val="single" w:sz="2" w:space="0" w:color="00000A"/>
            </w:tcBorders>
            <w:shd w:fill="auto" w:val="clear"/>
            <w:tcMar>
              <w:left w:w="99" w:type="dxa"/>
            </w:tcMar>
          </w:tcPr>
          <w:p>
            <w:pPr>
              <w:pStyle w:val="Normal"/>
              <w:spacing w:lineRule="auto" w:line="240" w:before="0" w:after="0"/>
              <w:rPr>
                <w:color w:val="E36C0A" w:themeColor="accent6" w:themeShade="bf"/>
              </w:rPr>
            </w:pPr>
            <w:r>
              <w:rPr>
                <w:color w:val="E36C0A" w:themeColor="accent6" w:themeShade="bf"/>
              </w:rPr>
              <w:t xml:space="preserve">Fabrication par exemple du </w:t>
            </w:r>
          </w:p>
          <w:p>
            <w:pPr>
              <w:pStyle w:val="Normal"/>
              <w:spacing w:lineRule="auto" w:line="240" w:before="0" w:after="0"/>
              <w:rPr>
                <w:color w:val="E36C0A" w:themeColor="accent6" w:themeShade="bf"/>
              </w:rPr>
            </w:pPr>
            <w:r>
              <w:rPr>
                <w:color w:val="E36C0A" w:themeColor="accent6" w:themeShade="bf"/>
              </w:rPr>
              <w:t>jeu des roues des voitures :</w:t>
            </w:r>
          </w:p>
          <w:p>
            <w:pPr>
              <w:pStyle w:val="Normal"/>
              <w:spacing w:lineRule="auto" w:line="240" w:before="0" w:after="0"/>
              <w:rPr>
                <w:color w:val="E36C0A" w:themeColor="accent6" w:themeShade="bf"/>
              </w:rPr>
            </w:pPr>
            <w:r>
              <w:rPr>
                <w:color w:val="E36C0A" w:themeColor="accent6" w:themeShade="bf"/>
              </w:rPr>
              <w:t>2 joueurs</w:t>
            </w:r>
          </w:p>
          <w:p>
            <w:pPr>
              <w:pStyle w:val="Normal"/>
              <w:spacing w:lineRule="auto" w:line="240" w:before="0" w:after="0"/>
              <w:rPr>
                <w:color w:val="E36C0A" w:themeColor="accent6" w:themeShade="bf"/>
              </w:rPr>
            </w:pPr>
            <w:r>
              <w:rPr>
                <w:color w:val="E36C0A" w:themeColor="accent6" w:themeShade="bf"/>
              </w:rPr>
              <w:t>Compétences :Lire le dé/accepter son lancer</w:t>
            </w:r>
          </w:p>
          <w:p>
            <w:pPr>
              <w:pStyle w:val="Normal"/>
              <w:spacing w:lineRule="auto" w:line="240" w:before="0" w:after="0"/>
              <w:rPr>
                <w:color w:val="E36C0A" w:themeColor="accent6" w:themeShade="bf"/>
              </w:rPr>
            </w:pPr>
            <w:r>
              <w:rPr>
                <w:color w:val="E36C0A" w:themeColor="accent6" w:themeShade="bf"/>
              </w:rPr>
              <w:t>Matériel : planche de jeu 8 voitures, 16 pions (roues)un dé 4 couleurs de pions 1 blanc 1 étoile</w:t>
            </w:r>
          </w:p>
          <w:p>
            <w:pPr>
              <w:pStyle w:val="Normal"/>
              <w:spacing w:lineRule="auto" w:line="240" w:before="0" w:after="0"/>
              <w:rPr>
                <w:color w:val="E36C0A" w:themeColor="accent6" w:themeShade="bf"/>
              </w:rPr>
            </w:pPr>
            <w:r>
              <w:rPr>
                <w:color w:val="E36C0A" w:themeColor="accent6" w:themeShade="bf"/>
              </w:rPr>
              <w:t>Déroulement : lancer de dé</w:t>
            </w:r>
          </w:p>
          <w:p>
            <w:pPr>
              <w:pStyle w:val="Normal"/>
              <w:spacing w:lineRule="auto" w:line="240" w:before="0" w:after="0"/>
              <w:rPr>
                <w:color w:val="E36C0A" w:themeColor="accent6" w:themeShade="bf"/>
              </w:rPr>
            </w:pPr>
            <w:r>
              <w:rPr>
                <w:color w:val="E36C0A" w:themeColor="accent6" w:themeShade="bf"/>
              </w:rPr>
              <w:t>Blanc : passe ton tour</w:t>
            </w:r>
          </w:p>
          <w:p>
            <w:pPr>
              <w:pStyle w:val="Normal"/>
              <w:spacing w:lineRule="auto" w:line="240" w:before="0" w:after="0"/>
              <w:rPr>
                <w:color w:val="E36C0A" w:themeColor="accent6" w:themeShade="bf"/>
              </w:rPr>
            </w:pPr>
            <w:r>
              <w:rPr>
                <w:color w:val="E36C0A" w:themeColor="accent6" w:themeShade="bf"/>
              </w:rPr>
              <w:t>Couleur : 1 pion de la couleur du dé</w:t>
            </w:r>
          </w:p>
          <w:p>
            <w:pPr>
              <w:pStyle w:val="Normal"/>
              <w:spacing w:lineRule="auto" w:line="240" w:before="0" w:after="0"/>
              <w:rPr>
                <w:color w:val="E36C0A" w:themeColor="accent6" w:themeShade="bf"/>
              </w:rPr>
            </w:pPr>
            <w:r>
              <w:rPr>
                <w:color w:val="E36C0A" w:themeColor="accent6" w:themeShade="bf"/>
              </w:rPr>
              <w:t>Etoile : pion au choix</w:t>
            </w:r>
          </w:p>
          <w:p>
            <w:pPr>
              <w:pStyle w:val="Normal"/>
              <w:spacing w:lineRule="auto" w:line="240" w:before="0" w:after="0"/>
              <w:rPr>
                <w:color w:val="E36C0A" w:themeColor="accent6" w:themeShade="bf"/>
              </w:rPr>
            </w:pPr>
            <w:r>
              <w:rPr>
                <w:color w:val="E36C0A" w:themeColor="accent6" w:themeShade="bf"/>
              </w:rPr>
              <w:t>Voir jeux d’eugénie</w:t>
            </w:r>
          </w:p>
        </w:tc>
        <w:tc>
          <w:tcPr>
            <w:tcW w:w="1985" w:type="dxa"/>
            <w:tcBorders>
              <w:left w:val="single" w:sz="2" w:space="0" w:color="00000A"/>
            </w:tcBorders>
            <w:shd w:fill="auto" w:val="clear"/>
            <w:tcMar>
              <w:left w:w="101" w:type="dxa"/>
            </w:tcMar>
          </w:tcPr>
          <w:p>
            <w:pPr>
              <w:pStyle w:val="Normal"/>
              <w:spacing w:lineRule="auto" w:line="240" w:before="0" w:after="0"/>
              <w:rPr/>
            </w:pPr>
            <w:r>
              <w:rPr>
                <w:color w:val="E36C0A" w:themeColor="accent6" w:themeShade="bf"/>
              </w:rPr>
              <w:t>Cadeau de passage chez les moyens</w:t>
            </w:r>
          </w:p>
          <w:p>
            <w:pPr>
              <w:pStyle w:val="Normal"/>
              <w:spacing w:lineRule="auto" w:line="240" w:before="0" w:after="0"/>
              <w:rPr>
                <w:color w:val="E36C0A" w:themeColor="accent6" w:themeShade="bf"/>
              </w:rPr>
            </w:pPr>
            <w:r>
              <w:rPr>
                <w:color w:val="E36C0A" w:themeColor="accent6" w:themeShade="bf"/>
              </w:rPr>
            </w:r>
          </w:p>
          <w:p>
            <w:pPr>
              <w:pStyle w:val="Normal"/>
              <w:spacing w:lineRule="auto" w:line="240" w:before="0" w:after="0"/>
              <w:rPr/>
            </w:pPr>
            <w:r>
              <w:rPr>
                <w:color w:val="E36C0A" w:themeColor="accent6" w:themeShade="bf"/>
              </w:rPr>
              <w:t>continuité avec les moyens qui proposent leur jeu</w:t>
            </w:r>
          </w:p>
          <w:p>
            <w:pPr>
              <w:pStyle w:val="Normal"/>
              <w:spacing w:lineRule="auto" w:line="240" w:before="0" w:after="0"/>
              <w:rPr>
                <w:color w:val="E36C0A" w:themeColor="accent6" w:themeShade="bf"/>
              </w:rPr>
            </w:pPr>
            <w:r>
              <w:rPr>
                <w:color w:val="E36C0A" w:themeColor="accent6" w:themeShade="bf"/>
              </w:rPr>
            </w:r>
          </w:p>
          <w:p>
            <w:pPr>
              <w:pStyle w:val="Normal"/>
              <w:spacing w:lineRule="auto" w:line="240" w:before="0" w:after="0"/>
              <w:rPr/>
            </w:pPr>
            <w:r>
              <w:rPr>
                <w:color w:val="E36C0A" w:themeColor="accent6" w:themeShade="bf"/>
              </w:rPr>
              <w:t>fiestateresa avec stand math</w:t>
            </w:r>
          </w:p>
        </w:tc>
        <w:tc>
          <w:tcPr>
            <w:tcW w:w="3118" w:type="dxa"/>
            <w:tcBorders>
              <w:left w:val="single" w:sz="2" w:space="0" w:color="00000A"/>
              <w:right w:val="single" w:sz="2" w:space="0" w:color="00000A"/>
              <w:insideV w:val="single" w:sz="2" w:space="0" w:color="00000A"/>
            </w:tcBorders>
            <w:shd w:color="auto" w:fill="D9D9D9" w:themeFill="background1" w:themeFillShade="d9" w:val="clear"/>
            <w:tcMar>
              <w:left w:w="99" w:type="dxa"/>
            </w:tcMar>
          </w:tcPr>
          <w:p>
            <w:pPr>
              <w:pStyle w:val="Normal"/>
              <w:spacing w:lineRule="auto" w:line="240" w:before="0" w:after="0"/>
              <w:rPr>
                <w:color w:val="E36C0A" w:themeColor="accent6" w:themeShade="bf"/>
              </w:rPr>
            </w:pPr>
            <w:r>
              <w:rPr>
                <w:color w:val="E36C0A" w:themeColor="accent6" w:themeShade="bf"/>
              </w:rPr>
            </w:r>
          </w:p>
        </w:tc>
        <w:tc>
          <w:tcPr>
            <w:tcW w:w="3260" w:type="dxa"/>
            <w:tcBorders>
              <w:left w:val="single" w:sz="2" w:space="0" w:color="00000A"/>
            </w:tcBorders>
            <w:shd w:color="auto" w:fill="D9D9D9" w:themeFill="background1" w:themeFillShade="d9" w:val="clear"/>
            <w:tcMar>
              <w:left w:w="101" w:type="dxa"/>
            </w:tcMar>
          </w:tcPr>
          <w:p>
            <w:pPr>
              <w:pStyle w:val="Normal"/>
              <w:spacing w:lineRule="auto" w:line="240" w:before="0" w:after="0"/>
              <w:rPr>
                <w:color w:val="E36C0A" w:themeColor="accent6" w:themeShade="bf"/>
              </w:rPr>
            </w:pPr>
            <w:r>
              <w:rPr>
                <w:color w:val="E36C0A" w:themeColor="accent6" w:themeShade="bf"/>
              </w:rPr>
            </w:r>
          </w:p>
        </w:tc>
      </w:tr>
      <w:tr>
        <w:trPr>
          <w:trHeight w:val="2306" w:hRule="atLeast"/>
        </w:trPr>
        <w:tc>
          <w:tcPr>
            <w:tcW w:w="3369" w:type="dxa"/>
            <w:tcBorders>
              <w:right w:val="single" w:sz="2" w:space="0" w:color="00000A"/>
              <w:insideV w:val="single" w:sz="2" w:space="0" w:color="00000A"/>
            </w:tcBorders>
            <w:shd w:fill="auto" w:val="clear"/>
            <w:tcMar>
              <w:left w:w="93" w:type="dxa"/>
            </w:tcMar>
          </w:tcPr>
          <w:p>
            <w:pPr>
              <w:pStyle w:val="Normal"/>
              <w:spacing w:lineRule="auto" w:line="240" w:before="0" w:after="0"/>
              <w:rPr>
                <w:color w:val="E36C0A" w:themeColor="accent6" w:themeShade="bf"/>
              </w:rPr>
            </w:pPr>
            <w:r>
              <w:rPr>
                <w:color w:val="E36C0A" w:themeColor="accent6" w:themeShade="bf"/>
              </w:rPr>
              <w:t>Moyens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Formuler les règles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Analyser le déroulement</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Jouer en autonomie</w:t>
            </w:r>
          </w:p>
        </w:tc>
        <w:tc>
          <w:tcPr>
            <w:tcW w:w="3402" w:type="dxa"/>
            <w:tcBorders>
              <w:left w:val="single" w:sz="2" w:space="0" w:color="00000A"/>
              <w:right w:val="single" w:sz="2" w:space="0" w:color="00000A"/>
              <w:insideV w:val="single" w:sz="2" w:space="0" w:color="00000A"/>
            </w:tcBorders>
            <w:shd w:fill="auto" w:val="clear"/>
            <w:tcMar>
              <w:left w:w="101" w:type="dxa"/>
            </w:tcMar>
          </w:tcPr>
          <w:p>
            <w:pPr>
              <w:pStyle w:val="ListParagraph"/>
              <w:numPr>
                <w:ilvl w:val="0"/>
                <w:numId w:val="1"/>
              </w:numPr>
              <w:spacing w:lineRule="auto" w:line="240" w:before="0" w:after="0"/>
              <w:contextualSpacing/>
              <w:rPr>
                <w:color w:val="E36C0A" w:themeColor="accent6" w:themeShade="bf"/>
              </w:rPr>
            </w:pPr>
            <w:r>
              <w:rPr>
                <w:color w:val="E36C0A" w:themeColor="accent6" w:themeShade="bf"/>
              </w:rPr>
              <w:t>Constellations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Formes géométriques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Correspondance dé avancement</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Conservation des quantités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Comparaison cardinale</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Premiers jeux de stratégie</w:t>
            </w:r>
          </w:p>
        </w:tc>
        <w:tc>
          <w:tcPr>
            <w:tcW w:w="2268" w:type="dxa"/>
            <w:tcBorders>
              <w:left w:val="single" w:sz="2" w:space="0" w:color="00000A"/>
            </w:tcBorders>
            <w:shd w:fill="auto" w:val="clear"/>
            <w:tcMar>
              <w:left w:w="101" w:type="dxa"/>
            </w:tcMar>
          </w:tcPr>
          <w:p>
            <w:pPr>
              <w:pStyle w:val="Normal"/>
              <w:spacing w:lineRule="auto" w:line="240" w:before="0" w:after="0"/>
              <w:rPr>
                <w:color w:val="E36C0A" w:themeColor="accent6" w:themeShade="bf"/>
              </w:rPr>
            </w:pPr>
            <w:r>
              <w:rPr>
                <w:color w:val="E36C0A" w:themeColor="accent6" w:themeShade="bf"/>
              </w:rPr>
              <w:t>Professeur d’école</w:t>
            </w:r>
          </w:p>
        </w:tc>
        <w:tc>
          <w:tcPr>
            <w:tcW w:w="3684" w:type="dxa"/>
            <w:tcBorders>
              <w:left w:val="single" w:sz="2" w:space="0" w:color="00000A"/>
              <w:right w:val="single" w:sz="2" w:space="0" w:color="00000A"/>
              <w:insideV w:val="single" w:sz="2" w:space="0" w:color="00000A"/>
            </w:tcBorders>
            <w:shd w:fill="auto" w:val="clear"/>
            <w:tcMar>
              <w:left w:w="99" w:type="dxa"/>
            </w:tcMar>
          </w:tcPr>
          <w:p>
            <w:pPr>
              <w:pStyle w:val="Normal"/>
              <w:spacing w:lineRule="auto" w:line="240" w:before="0" w:after="0"/>
              <w:rPr>
                <w:color w:val="E36C0A" w:themeColor="accent6" w:themeShade="bf"/>
              </w:rPr>
            </w:pPr>
            <w:r>
              <w:rPr>
                <w:color w:val="E36C0A" w:themeColor="accent6" w:themeShade="bf"/>
              </w:rPr>
              <w:t>Tangram</w:t>
            </w:r>
          </w:p>
          <w:p>
            <w:pPr>
              <w:pStyle w:val="Normal"/>
              <w:spacing w:lineRule="auto" w:line="240" w:before="0" w:after="0"/>
              <w:rPr>
                <w:color w:val="E36C0A" w:themeColor="accent6" w:themeShade="bf"/>
              </w:rPr>
            </w:pPr>
            <w:r>
              <w:rPr>
                <w:color w:val="E36C0A" w:themeColor="accent6" w:themeShade="bf"/>
              </w:rPr>
              <w:t>Dominos</w:t>
            </w:r>
          </w:p>
          <w:p>
            <w:pPr>
              <w:pStyle w:val="Normal"/>
              <w:spacing w:lineRule="auto" w:line="240" w:before="0" w:after="0"/>
              <w:rPr>
                <w:color w:val="E36C0A" w:themeColor="accent6" w:themeShade="bf"/>
              </w:rPr>
            </w:pPr>
            <w:r>
              <w:rPr>
                <w:color w:val="E36C0A" w:themeColor="accent6" w:themeShade="bf"/>
              </w:rPr>
              <w:t>Voir jeux primaths</w:t>
            </w:r>
          </w:p>
        </w:tc>
        <w:tc>
          <w:tcPr>
            <w:tcW w:w="1985" w:type="dxa"/>
            <w:tcBorders>
              <w:left w:val="single" w:sz="2" w:space="0" w:color="00000A"/>
            </w:tcBorders>
            <w:shd w:fill="auto" w:val="clear"/>
            <w:tcMar>
              <w:left w:w="101" w:type="dxa"/>
            </w:tcMar>
          </w:tcPr>
          <w:p>
            <w:pPr>
              <w:pStyle w:val="Normal"/>
              <w:spacing w:lineRule="auto" w:line="240" w:before="0" w:after="0"/>
              <w:rPr/>
            </w:pPr>
            <w:r>
              <w:rPr>
                <w:color w:val="E36C0A" w:themeColor="accent6" w:themeShade="bf"/>
              </w:rPr>
              <w:t>Cadeau de passage chez les grands</w:t>
            </w:r>
          </w:p>
          <w:p>
            <w:pPr>
              <w:pStyle w:val="Normal"/>
              <w:spacing w:lineRule="auto" w:line="240" w:before="0" w:after="0"/>
              <w:rPr>
                <w:color w:val="E36C0A" w:themeColor="accent6" w:themeShade="bf"/>
              </w:rPr>
            </w:pPr>
            <w:r>
              <w:rPr>
                <w:color w:val="E36C0A" w:themeColor="accent6" w:themeShade="bf"/>
              </w:rPr>
            </w:r>
          </w:p>
          <w:p>
            <w:pPr>
              <w:pStyle w:val="Normal"/>
              <w:spacing w:lineRule="auto" w:line="240" w:before="0" w:after="0"/>
              <w:rPr/>
            </w:pPr>
            <w:r>
              <w:rPr>
                <w:color w:val="E36C0A" w:themeColor="accent6" w:themeShade="bf"/>
              </w:rPr>
              <w:t>continuité avec les grands qui proposent leur jeu</w:t>
            </w:r>
          </w:p>
          <w:p>
            <w:pPr>
              <w:pStyle w:val="Normal"/>
              <w:spacing w:lineRule="auto" w:line="240" w:before="0" w:after="0"/>
              <w:rPr>
                <w:color w:val="E36C0A" w:themeColor="accent6" w:themeShade="bf"/>
              </w:rPr>
            </w:pPr>
            <w:r>
              <w:rPr>
                <w:color w:val="E36C0A" w:themeColor="accent6" w:themeShade="bf"/>
              </w:rPr>
            </w:r>
          </w:p>
          <w:p>
            <w:pPr>
              <w:pStyle w:val="Normal"/>
              <w:spacing w:lineRule="auto" w:line="240" w:before="0" w:after="0"/>
              <w:rPr/>
            </w:pPr>
            <w:r>
              <w:rPr>
                <w:color w:val="E36C0A" w:themeColor="accent6" w:themeShade="bf"/>
              </w:rPr>
              <w:t>fiestatérésa avec stand math</w:t>
            </w:r>
          </w:p>
        </w:tc>
        <w:tc>
          <w:tcPr>
            <w:tcW w:w="3118" w:type="dxa"/>
            <w:tcBorders>
              <w:left w:val="single" w:sz="2" w:space="0" w:color="00000A"/>
              <w:right w:val="single" w:sz="2" w:space="0" w:color="00000A"/>
              <w:insideV w:val="single" w:sz="2" w:space="0" w:color="00000A"/>
            </w:tcBorders>
            <w:shd w:color="auto" w:fill="D9D9D9" w:themeFill="background1" w:themeFillShade="d9" w:val="clear"/>
            <w:tcMar>
              <w:left w:w="99" w:type="dxa"/>
            </w:tcMar>
          </w:tcPr>
          <w:p>
            <w:pPr>
              <w:pStyle w:val="Normal"/>
              <w:spacing w:lineRule="auto" w:line="240" w:before="0" w:after="0"/>
              <w:rPr>
                <w:color w:val="E36C0A" w:themeColor="accent6" w:themeShade="bf"/>
              </w:rPr>
            </w:pPr>
            <w:r>
              <w:rPr>
                <w:color w:val="E36C0A" w:themeColor="accent6" w:themeShade="bf"/>
              </w:rPr>
            </w:r>
          </w:p>
        </w:tc>
        <w:tc>
          <w:tcPr>
            <w:tcW w:w="3260" w:type="dxa"/>
            <w:tcBorders>
              <w:left w:val="single" w:sz="2" w:space="0" w:color="00000A"/>
            </w:tcBorders>
            <w:shd w:color="auto" w:fill="D9D9D9" w:themeFill="background1" w:themeFillShade="d9" w:val="clear"/>
            <w:tcMar>
              <w:left w:w="101" w:type="dxa"/>
            </w:tcMar>
          </w:tcPr>
          <w:p>
            <w:pPr>
              <w:pStyle w:val="Normal"/>
              <w:spacing w:lineRule="auto" w:line="240" w:before="0" w:after="0"/>
              <w:rPr>
                <w:color w:val="E36C0A" w:themeColor="accent6" w:themeShade="bf"/>
              </w:rPr>
            </w:pPr>
            <w:r>
              <w:rPr>
                <w:color w:val="E36C0A" w:themeColor="accent6" w:themeShade="bf"/>
              </w:rPr>
            </w:r>
          </w:p>
        </w:tc>
      </w:tr>
      <w:tr>
        <w:trPr>
          <w:trHeight w:val="2409" w:hRule="atLeast"/>
        </w:trPr>
        <w:tc>
          <w:tcPr>
            <w:tcW w:w="3369" w:type="dxa"/>
            <w:tcBorders>
              <w:right w:val="single" w:sz="2" w:space="0" w:color="00000A"/>
              <w:insideV w:val="single" w:sz="2" w:space="0" w:color="00000A"/>
            </w:tcBorders>
            <w:shd w:fill="auto" w:val="clear"/>
            <w:tcMar>
              <w:left w:w="93" w:type="dxa"/>
            </w:tcMar>
          </w:tcPr>
          <w:p>
            <w:pPr>
              <w:pStyle w:val="Normal"/>
              <w:spacing w:lineRule="auto" w:line="240" w:before="0" w:after="0"/>
              <w:rPr>
                <w:color w:val="E36C0A" w:themeColor="accent6" w:themeShade="bf"/>
              </w:rPr>
            </w:pPr>
            <w:r>
              <w:rPr>
                <w:color w:val="E36C0A" w:themeColor="accent6" w:themeShade="bf"/>
              </w:rPr>
              <w:t>Grands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Reconnaissance constellatoire</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Valeur numérique</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Correspondance terme à terme</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Ajouter enlever</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Topologie avancer reculer direction…</w:t>
            </w:r>
          </w:p>
        </w:tc>
        <w:tc>
          <w:tcPr>
            <w:tcW w:w="3402" w:type="dxa"/>
            <w:tcBorders>
              <w:left w:val="single" w:sz="2" w:space="0" w:color="00000A"/>
              <w:right w:val="single" w:sz="2" w:space="0" w:color="00000A"/>
              <w:insideV w:val="single" w:sz="2" w:space="0" w:color="00000A"/>
            </w:tcBorders>
            <w:shd w:fill="auto" w:val="clear"/>
            <w:tcMar>
              <w:left w:w="101" w:type="dxa"/>
            </w:tcMar>
          </w:tcPr>
          <w:p>
            <w:pPr>
              <w:pStyle w:val="ListParagraph"/>
              <w:numPr>
                <w:ilvl w:val="0"/>
                <w:numId w:val="1"/>
              </w:numPr>
              <w:spacing w:lineRule="auto" w:line="240" w:before="0" w:after="0"/>
              <w:contextualSpacing/>
              <w:rPr>
                <w:color w:val="E36C0A" w:themeColor="accent6" w:themeShade="bf"/>
              </w:rPr>
            </w:pPr>
            <w:r>
              <w:rPr>
                <w:color w:val="E36C0A" w:themeColor="accent6" w:themeShade="bf"/>
              </w:rPr>
              <w:t>Anticiper les déplacements possibles</w:t>
            </w:r>
          </w:p>
          <w:p>
            <w:pPr>
              <w:pStyle w:val="ListParagraph"/>
              <w:numPr>
                <w:ilvl w:val="0"/>
                <w:numId w:val="1"/>
              </w:numPr>
              <w:spacing w:lineRule="auto" w:line="240" w:before="0" w:after="0"/>
              <w:contextualSpacing/>
              <w:rPr>
                <w:color w:val="E36C0A" w:themeColor="accent6" w:themeShade="bf"/>
              </w:rPr>
            </w:pPr>
            <w:r>
              <w:rPr>
                <w:color w:val="E36C0A" w:themeColor="accent6" w:themeShade="bf"/>
              </w:rPr>
              <w:t>S’occuper de plusieurs pions</w:t>
            </w:r>
          </w:p>
        </w:tc>
        <w:tc>
          <w:tcPr>
            <w:tcW w:w="2268" w:type="dxa"/>
            <w:tcBorders>
              <w:left w:val="single" w:sz="2" w:space="0" w:color="00000A"/>
            </w:tcBorders>
            <w:shd w:fill="auto" w:val="clear"/>
            <w:tcMar>
              <w:left w:w="101" w:type="dxa"/>
            </w:tcMar>
          </w:tcPr>
          <w:p>
            <w:pPr>
              <w:pStyle w:val="Normal"/>
              <w:spacing w:lineRule="auto" w:line="240" w:before="0" w:after="0"/>
              <w:rPr>
                <w:color w:val="E36C0A" w:themeColor="accent6" w:themeShade="bf"/>
              </w:rPr>
            </w:pPr>
            <w:r>
              <w:rPr>
                <w:color w:val="E36C0A" w:themeColor="accent6" w:themeShade="bf"/>
              </w:rPr>
              <w:t>Professeur d’école</w:t>
            </w:r>
          </w:p>
        </w:tc>
        <w:tc>
          <w:tcPr>
            <w:tcW w:w="3684" w:type="dxa"/>
            <w:tcBorders>
              <w:left w:val="single" w:sz="2" w:space="0" w:color="00000A"/>
              <w:right w:val="single" w:sz="2" w:space="0" w:color="00000A"/>
              <w:insideV w:val="single" w:sz="2" w:space="0" w:color="00000A"/>
            </w:tcBorders>
            <w:shd w:fill="auto" w:val="clear"/>
            <w:tcMar>
              <w:left w:w="99" w:type="dxa"/>
            </w:tcMar>
          </w:tcPr>
          <w:p>
            <w:pPr>
              <w:pStyle w:val="Normal"/>
              <w:spacing w:lineRule="auto" w:line="240" w:before="0" w:after="0"/>
              <w:rPr>
                <w:color w:val="E36C0A" w:themeColor="accent6" w:themeShade="bf"/>
              </w:rPr>
            </w:pPr>
            <w:r>
              <w:rPr>
                <w:color w:val="E36C0A" w:themeColor="accent6" w:themeShade="bf"/>
              </w:rPr>
              <w:t>Bataille navale</w:t>
            </w:r>
          </w:p>
          <w:p>
            <w:pPr>
              <w:pStyle w:val="Normal"/>
              <w:spacing w:lineRule="auto" w:line="240" w:before="0" w:after="0"/>
              <w:rPr>
                <w:color w:val="E36C0A" w:themeColor="accent6" w:themeShade="bf"/>
              </w:rPr>
            </w:pPr>
            <w:r>
              <w:rPr>
                <w:color w:val="E36C0A" w:themeColor="accent6" w:themeShade="bf"/>
              </w:rPr>
            </w:r>
          </w:p>
        </w:tc>
        <w:tc>
          <w:tcPr>
            <w:tcW w:w="1985" w:type="dxa"/>
            <w:tcBorders>
              <w:left w:val="single" w:sz="2" w:space="0" w:color="00000A"/>
            </w:tcBorders>
            <w:shd w:fill="auto" w:val="clear"/>
            <w:tcMar>
              <w:left w:w="101" w:type="dxa"/>
            </w:tcMar>
          </w:tcPr>
          <w:p>
            <w:pPr>
              <w:pStyle w:val="Normal"/>
              <w:spacing w:lineRule="auto" w:line="240" w:before="0" w:after="0"/>
              <w:rPr/>
            </w:pPr>
            <w:r>
              <w:rPr>
                <w:color w:val="E36C0A" w:themeColor="accent6" w:themeShade="bf"/>
              </w:rPr>
              <w:t>Cadeau de passage chez les grands</w:t>
            </w:r>
          </w:p>
          <w:p>
            <w:pPr>
              <w:pStyle w:val="Normal"/>
              <w:spacing w:lineRule="auto" w:line="240" w:before="0" w:after="0"/>
              <w:rPr>
                <w:color w:val="E36C0A" w:themeColor="accent6" w:themeShade="bf"/>
              </w:rPr>
            </w:pPr>
            <w:r>
              <w:rPr>
                <w:color w:val="E36C0A" w:themeColor="accent6" w:themeShade="bf"/>
              </w:rPr>
            </w:r>
          </w:p>
          <w:p>
            <w:pPr>
              <w:pStyle w:val="Normal"/>
              <w:spacing w:lineRule="auto" w:line="240" w:before="0" w:after="0"/>
              <w:rPr/>
            </w:pPr>
            <w:r>
              <w:rPr>
                <w:color w:val="E36C0A" w:themeColor="accent6" w:themeShade="bf"/>
              </w:rPr>
              <w:t>continuité avec les cp qui proposent leur défimath</w:t>
            </w:r>
          </w:p>
          <w:p>
            <w:pPr>
              <w:pStyle w:val="Normal"/>
              <w:spacing w:lineRule="auto" w:line="240" w:before="0" w:after="0"/>
              <w:rPr>
                <w:color w:val="E36C0A" w:themeColor="accent6" w:themeShade="bf"/>
              </w:rPr>
            </w:pPr>
            <w:r>
              <w:rPr>
                <w:color w:val="E36C0A" w:themeColor="accent6" w:themeShade="bf"/>
              </w:rPr>
            </w:r>
          </w:p>
          <w:p>
            <w:pPr>
              <w:pStyle w:val="Normal"/>
              <w:spacing w:lineRule="auto" w:line="240" w:before="0" w:after="0"/>
              <w:rPr/>
            </w:pPr>
            <w:r>
              <w:rPr>
                <w:color w:val="E36C0A" w:themeColor="accent6" w:themeShade="bf"/>
              </w:rPr>
              <w:t>fiestatérésa avec stand math</w:t>
            </w:r>
          </w:p>
        </w:tc>
        <w:tc>
          <w:tcPr>
            <w:tcW w:w="3118" w:type="dxa"/>
            <w:tcBorders>
              <w:left w:val="single" w:sz="2" w:space="0" w:color="00000A"/>
              <w:right w:val="single" w:sz="2" w:space="0" w:color="00000A"/>
              <w:insideV w:val="single" w:sz="2" w:space="0" w:color="00000A"/>
            </w:tcBorders>
            <w:shd w:color="auto" w:fill="D9D9D9" w:themeFill="background1" w:themeFillShade="d9" w:val="clear"/>
            <w:tcMar>
              <w:left w:w="99" w:type="dxa"/>
            </w:tcMar>
          </w:tcPr>
          <w:p>
            <w:pPr>
              <w:pStyle w:val="Normal"/>
              <w:spacing w:lineRule="auto" w:line="240" w:before="0" w:after="0"/>
              <w:rPr>
                <w:color w:val="E36C0A" w:themeColor="accent6" w:themeShade="bf"/>
              </w:rPr>
            </w:pPr>
            <w:r>
              <w:rPr>
                <w:color w:val="E36C0A" w:themeColor="accent6" w:themeShade="bf"/>
              </w:rPr>
            </w:r>
          </w:p>
        </w:tc>
        <w:tc>
          <w:tcPr>
            <w:tcW w:w="3260" w:type="dxa"/>
            <w:tcBorders>
              <w:left w:val="single" w:sz="2" w:space="0" w:color="00000A"/>
            </w:tcBorders>
            <w:shd w:color="auto" w:fill="D9D9D9" w:themeFill="background1" w:themeFillShade="d9" w:val="clear"/>
            <w:tcMar>
              <w:left w:w="101" w:type="dxa"/>
            </w:tcMar>
          </w:tcPr>
          <w:p>
            <w:pPr>
              <w:pStyle w:val="Normal"/>
              <w:spacing w:lineRule="auto" w:line="240" w:before="0" w:after="0"/>
              <w:rPr>
                <w:color w:val="E36C0A" w:themeColor="accent6" w:themeShade="bf"/>
              </w:rPr>
            </w:pPr>
            <w:r>
              <w:rPr>
                <w:color w:val="E36C0A" w:themeColor="accent6" w:themeShade="bf"/>
              </w:rPr>
            </w:r>
          </w:p>
        </w:tc>
      </w:tr>
    </w:tbl>
    <w:p>
      <w:pPr>
        <w:pStyle w:val="Normal"/>
        <w:spacing w:before="0" w:after="0"/>
        <w:rPr/>
      </w:pPr>
      <w:r>
        <w:rPr/>
      </w:r>
    </w:p>
    <w:sectPr>
      <w:headerReference w:type="default" r:id="rId2"/>
      <w:footerReference w:type="default" r:id="rId3"/>
      <w:type w:val="nextPage"/>
      <w:pgSz w:orient="landscape" w:w="23811" w:h="16838"/>
      <w:pgMar w:left="1417" w:right="1417" w:header="708" w:top="1274" w:footer="165"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2867412"/>
    </w:sdtPr>
    <w:sdtContent>
      <w:p>
        <w:pPr>
          <w:pStyle w:val="Pieddepage"/>
          <w:jc w:val="right"/>
          <w:rPr/>
        </w:pPr>
        <w:r>
          <w:rPr/>
          <w:fldChar w:fldCharType="begin"/>
        </w:r>
        <w:r>
          <w:instrText> PAGE </w:instrText>
        </w:r>
        <w:r>
          <w:fldChar w:fldCharType="separate"/>
        </w:r>
        <w:r>
          <w:t>1</w:t>
        </w:r>
        <w: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708" w:leader="none"/>
        <w:tab w:val="center" w:pos="4536" w:leader="none"/>
        <w:tab w:val="right" w:pos="9072" w:leader="none"/>
      </w:tabs>
      <w:jc w:val="right"/>
      <w:rPr>
        <w:b/>
        <w:b/>
        <w:color w:val="FF0000"/>
        <w:sz w:val="36"/>
        <w:szCs w:val="36"/>
      </w:rPr>
    </w:pPr>
    <w:r>
      <w:drawing>
        <wp:anchor behindDoc="1" distT="0" distB="1905" distL="114300" distR="119380" simplePos="0" locked="0" layoutInCell="1" allowOverlap="1" relativeHeight="2">
          <wp:simplePos x="0" y="0"/>
          <wp:positionH relativeFrom="column">
            <wp:posOffset>-823595</wp:posOffset>
          </wp:positionH>
          <wp:positionV relativeFrom="paragraph">
            <wp:posOffset>-147320</wp:posOffset>
          </wp:positionV>
          <wp:extent cx="1252220" cy="683895"/>
          <wp:effectExtent l="0" t="0" r="0" b="0"/>
          <wp:wrapSquare wrapText="bothSides"/>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rcRect l="0" t="0" r="0" b="56652"/>
                  <a:stretch>
                    <a:fillRect/>
                  </a:stretch>
                </pic:blipFill>
                <pic:spPr bwMode="auto">
                  <a:xfrm>
                    <a:off x="0" y="0"/>
                    <a:ext cx="1252220" cy="683895"/>
                  </a:xfrm>
                  <a:prstGeom prst="rect">
                    <a:avLst/>
                  </a:prstGeom>
                </pic:spPr>
              </pic:pic>
            </a:graphicData>
          </a:graphic>
        </wp:anchor>
      </w:drawing>
    </w:r>
    <w:r>
      <w:rPr>
        <w:b/>
        <w:color w:val="FF0000"/>
        <w:sz w:val="36"/>
        <w:szCs w:val="36"/>
      </w:rPr>
      <w:t>P</w:t>
    </w:r>
    <w:r>
      <w:rPr>
        <w:b/>
        <w:color w:val="FF0000"/>
        <w:sz w:val="36"/>
        <w:szCs w:val="36"/>
      </w:rPr>
      <w:t>lan de réalisation du projet innovant Mathématique 2017-2018</w:t>
    </w:r>
  </w:p>
  <w:p>
    <w:pPr>
      <w:pStyle w:val="Entte"/>
      <w:tabs>
        <w:tab w:val="left" w:pos="708" w:leader="none"/>
        <w:tab w:val="center" w:pos="4536" w:leader="none"/>
        <w:tab w:val="right" w:pos="9072" w:leader="none"/>
      </w:tabs>
      <w:jc w:val="center"/>
      <w:rPr>
        <w:b/>
        <w:b/>
        <w:sz w:val="28"/>
        <w:szCs w:val="28"/>
      </w:rPr>
    </w:pPr>
    <w:r>
      <w:rPr>
        <w:b/>
        <w:sz w:val="28"/>
        <w:szCs w:val="28"/>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38a5"/>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430282"/>
    <w:rPr/>
  </w:style>
  <w:style w:type="character" w:styleId="PieddepageCar" w:customStyle="1">
    <w:name w:val="Pied de page Car"/>
    <w:basedOn w:val="DefaultParagraphFont"/>
    <w:link w:val="Pieddepage"/>
    <w:uiPriority w:val="99"/>
    <w:qFormat/>
    <w:rsid w:val="0043028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paragraph" w:styleId="Titre">
    <w:name w:val="Titre"/>
    <w:basedOn w:val="Normal"/>
    <w:next w:val="Corpsdetexte"/>
    <w:qFormat/>
    <w:pPr>
      <w:keepNext/>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tte">
    <w:name w:val="Header"/>
    <w:basedOn w:val="Normal"/>
    <w:link w:val="En-tteCar"/>
    <w:uiPriority w:val="99"/>
    <w:unhideWhenUsed/>
    <w:rsid w:val="00430282"/>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430282"/>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2f2b9e"/>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8072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LibreOffice/5.2.7.2$Windows_x86 LibreOffice_project/2b7f1e640c46ceb28adf43ee075a6e8b8439ed10</Application>
  <Pages>1</Pages>
  <Words>408</Words>
  <Characters>2209</Characters>
  <CharactersWithSpaces>2539</CharactersWithSpaces>
  <Paragraphs>61</Paragraphs>
  <Company>ACADEMIE DE MONTPELLIER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2017-06-20T09:28:00Z</dcterms:created>
  <dc:creator>Grégory LEFEVRE</dc:creator>
  <dc:description/>
  <dc:language>fr-FR</dc:language>
  <cp:lastModifiedBy/>
  <cp:lastPrinted>2017-10-19T13:23:29Z</cp:lastPrinted>
  <dcterms:modified xsi:type="dcterms:W3CDTF">2017-10-19T13:23:35Z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ACADEMIE DE MONTPELLIER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