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Comptinons de concert telle une souris verte de respect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travers des textes courts, rythmés, tantôt humoristiques, tantôt poétiques, toujours remplis de sensibilité, les enfants entrent tout naturellement dans l’univers qui les entoure. Ils découvrent le monde de l’maginaire qui leur ressemble tantôt pétillant, tantôt craintif, à travers de petites comptines grâce auxquelles ils apprendront le respect de la vie sous toutes ses formes.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“C’est à travers ces textes courts, rythmés, faciles à mémoriser et à chantonner que l’enfant apprendra peu à peu ce respect de la vie qui devrait devenir la morale de toute l’humanité” Théodore Monod</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